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4E5" w:rsidRPr="009334E5" w:rsidRDefault="009334E5" w:rsidP="009334E5">
      <w:pPr>
        <w:tabs>
          <w:tab w:val="left" w:pos="2835"/>
        </w:tabs>
        <w:jc w:val="center"/>
        <w:rPr>
          <w:iCs/>
          <w:color w:val="000000"/>
          <w:sz w:val="24"/>
          <w:szCs w:val="21"/>
        </w:rPr>
      </w:pPr>
      <w:bookmarkStart w:id="0" w:name="_GoBack"/>
      <w:bookmarkEnd w:id="0"/>
      <w:r w:rsidRPr="009334E5">
        <w:rPr>
          <w:iCs/>
          <w:color w:val="000000"/>
          <w:sz w:val="24"/>
          <w:szCs w:val="21"/>
        </w:rPr>
        <w:t>S.N.A.L.S.-Conf.S.A.L.</w:t>
      </w:r>
    </w:p>
    <w:p w:rsidR="009334E5" w:rsidRPr="009334E5" w:rsidRDefault="009334E5" w:rsidP="009334E5">
      <w:pPr>
        <w:tabs>
          <w:tab w:val="left" w:pos="2835"/>
        </w:tabs>
        <w:jc w:val="center"/>
        <w:rPr>
          <w:iCs/>
          <w:color w:val="000000"/>
          <w:sz w:val="24"/>
          <w:szCs w:val="21"/>
        </w:rPr>
      </w:pPr>
      <w:r w:rsidRPr="009334E5">
        <w:rPr>
          <w:iCs/>
          <w:color w:val="000000"/>
          <w:sz w:val="24"/>
          <w:szCs w:val="21"/>
        </w:rPr>
        <w:t>Sindacato Nazionale Autonomo Lavoratori Scuola</w:t>
      </w:r>
    </w:p>
    <w:p w:rsidR="009334E5" w:rsidRPr="009334E5" w:rsidRDefault="00196190" w:rsidP="009334E5">
      <w:pPr>
        <w:tabs>
          <w:tab w:val="left" w:pos="2835"/>
        </w:tabs>
        <w:jc w:val="center"/>
        <w:rPr>
          <w:iCs/>
          <w:color w:val="000000"/>
          <w:sz w:val="22"/>
          <w:szCs w:val="21"/>
        </w:rPr>
      </w:pPr>
      <w:r>
        <w:rPr>
          <w:iCs/>
          <w:color w:val="000000"/>
          <w:sz w:val="22"/>
          <w:szCs w:val="21"/>
        </w:rPr>
        <w:t>Como</w:t>
      </w:r>
    </w:p>
    <w:p w:rsidR="009334E5" w:rsidRPr="009334E5" w:rsidRDefault="009334E5" w:rsidP="009334E5">
      <w:pPr>
        <w:tabs>
          <w:tab w:val="left" w:pos="2835"/>
        </w:tabs>
        <w:rPr>
          <w:iCs/>
          <w:color w:val="000000"/>
          <w:sz w:val="21"/>
          <w:szCs w:val="21"/>
        </w:rPr>
      </w:pPr>
    </w:p>
    <w:p w:rsidR="009334E5" w:rsidRPr="009334E5" w:rsidRDefault="009334E5" w:rsidP="009334E5">
      <w:pPr>
        <w:tabs>
          <w:tab w:val="left" w:pos="2835"/>
        </w:tabs>
        <w:rPr>
          <w:iCs/>
          <w:color w:val="000000"/>
          <w:sz w:val="21"/>
          <w:szCs w:val="21"/>
        </w:rPr>
      </w:pPr>
    </w:p>
    <w:p w:rsidR="00136D58" w:rsidRDefault="009334E5" w:rsidP="00196190">
      <w:pPr>
        <w:tabs>
          <w:tab w:val="clear" w:pos="397"/>
          <w:tab w:val="clear" w:pos="851"/>
          <w:tab w:val="clear" w:pos="1247"/>
        </w:tabs>
        <w:rPr>
          <w:iCs/>
          <w:color w:val="000000"/>
          <w:sz w:val="22"/>
          <w:szCs w:val="22"/>
        </w:rPr>
      </w:pPr>
      <w:r w:rsidRPr="009334E5">
        <w:rPr>
          <w:i/>
          <w:iCs/>
          <w:color w:val="000000"/>
          <w:sz w:val="24"/>
          <w:szCs w:val="22"/>
        </w:rPr>
        <w:t>Notiziario Sindacale</w:t>
      </w:r>
      <w:r w:rsidRPr="009334E5">
        <w:rPr>
          <w:iCs/>
          <w:color w:val="000000"/>
          <w:sz w:val="24"/>
          <w:szCs w:val="22"/>
        </w:rPr>
        <w:tab/>
      </w:r>
      <w:r w:rsidR="00196190">
        <w:rPr>
          <w:iCs/>
          <w:color w:val="000000"/>
          <w:sz w:val="22"/>
          <w:szCs w:val="22"/>
        </w:rPr>
        <w:t>Alle RSU</w:t>
      </w:r>
    </w:p>
    <w:p w:rsidR="00196190" w:rsidRPr="00136D58" w:rsidRDefault="00196190" w:rsidP="00196190">
      <w:pPr>
        <w:tabs>
          <w:tab w:val="clear" w:pos="397"/>
          <w:tab w:val="clear" w:pos="851"/>
          <w:tab w:val="clear" w:pos="1247"/>
        </w:tabs>
        <w:rPr>
          <w:i/>
          <w:iCs/>
          <w:color w:val="000000"/>
          <w:sz w:val="21"/>
          <w:szCs w:val="21"/>
        </w:rPr>
      </w:pPr>
      <w:r>
        <w:rPr>
          <w:iCs/>
          <w:color w:val="000000"/>
          <w:sz w:val="22"/>
          <w:szCs w:val="22"/>
        </w:rPr>
        <w:tab/>
        <w:t>Albo sindacale</w:t>
      </w:r>
      <w:r>
        <w:rPr>
          <w:iCs/>
          <w:color w:val="000000"/>
          <w:sz w:val="22"/>
          <w:szCs w:val="22"/>
        </w:rPr>
        <w:tab/>
      </w:r>
      <w:r>
        <w:rPr>
          <w:iCs/>
          <w:color w:val="000000"/>
          <w:sz w:val="22"/>
          <w:szCs w:val="22"/>
        </w:rPr>
        <w:tab/>
      </w:r>
    </w:p>
    <w:p w:rsidR="008238B7" w:rsidRDefault="008238B7" w:rsidP="00092C9C">
      <w:pPr>
        <w:tabs>
          <w:tab w:val="left" w:pos="2835"/>
        </w:tabs>
        <w:rPr>
          <w:iCs/>
          <w:color w:val="000000"/>
          <w:sz w:val="21"/>
          <w:szCs w:val="21"/>
        </w:rPr>
      </w:pPr>
    </w:p>
    <w:p w:rsidR="00863158" w:rsidRPr="00863158" w:rsidRDefault="00863158" w:rsidP="00863158">
      <w:pPr>
        <w:tabs>
          <w:tab w:val="left" w:pos="2835"/>
        </w:tabs>
        <w:rPr>
          <w:iCs/>
          <w:color w:val="000000"/>
          <w:sz w:val="21"/>
          <w:szCs w:val="21"/>
        </w:rPr>
      </w:pPr>
    </w:p>
    <w:p w:rsidR="00863158" w:rsidRPr="00863158" w:rsidRDefault="00863158" w:rsidP="00863158">
      <w:pPr>
        <w:tabs>
          <w:tab w:val="left" w:pos="2835"/>
        </w:tabs>
        <w:rPr>
          <w:iCs/>
          <w:color w:val="000000"/>
          <w:sz w:val="21"/>
          <w:szCs w:val="21"/>
        </w:rPr>
      </w:pPr>
      <w:r w:rsidRPr="00863158">
        <w:rPr>
          <w:iCs/>
          <w:color w:val="000000"/>
          <w:sz w:val="21"/>
          <w:szCs w:val="21"/>
        </w:rPr>
        <w:t xml:space="preserve">* </w:t>
      </w:r>
      <w:r>
        <w:rPr>
          <w:iCs/>
          <w:color w:val="000000"/>
          <w:sz w:val="21"/>
          <w:szCs w:val="21"/>
        </w:rPr>
        <w:tab/>
      </w:r>
      <w:r w:rsidRPr="00863158">
        <w:rPr>
          <w:iCs/>
          <w:color w:val="000000"/>
          <w:sz w:val="21"/>
          <w:szCs w:val="21"/>
          <w:u w:val="single"/>
        </w:rPr>
        <w:t>DOCENTI CON TITOLO ESTERO: NESSUNA MODIFICA DELL’OM/112</w:t>
      </w:r>
    </w:p>
    <w:p w:rsidR="00863158" w:rsidRPr="0035421A" w:rsidRDefault="00863158" w:rsidP="00863158">
      <w:pPr>
        <w:tabs>
          <w:tab w:val="left" w:pos="2835"/>
        </w:tabs>
        <w:rPr>
          <w:iCs/>
          <w:color w:val="000000"/>
          <w:sz w:val="21"/>
          <w:szCs w:val="21"/>
        </w:rPr>
      </w:pPr>
      <w:r w:rsidRPr="00863158">
        <w:rPr>
          <w:iCs/>
          <w:color w:val="000000"/>
          <w:sz w:val="21"/>
          <w:szCs w:val="21"/>
        </w:rPr>
        <w:t xml:space="preserve">Nella serata di ieri, in apertura dell’incontro, si è avuta dapprima l’informativa del MIM sul riparto delle risorse tra tutte le istituzioni scolastiche in attuazione delle seguenti linee di </w:t>
      </w:r>
      <w:r w:rsidRPr="0035421A">
        <w:rPr>
          <w:iCs/>
          <w:color w:val="000000"/>
          <w:sz w:val="21"/>
          <w:szCs w:val="21"/>
        </w:rPr>
        <w:t xml:space="preserve">investimento: </w:t>
      </w:r>
    </w:p>
    <w:p w:rsidR="006B0804" w:rsidRPr="0035421A" w:rsidRDefault="006B0804" w:rsidP="00863158">
      <w:pPr>
        <w:pStyle w:val="Paragrafoelenco"/>
        <w:numPr>
          <w:ilvl w:val="0"/>
          <w:numId w:val="6"/>
        </w:numPr>
        <w:shd w:val="clear" w:color="auto" w:fill="FFFFFF"/>
        <w:tabs>
          <w:tab w:val="clear" w:pos="397"/>
          <w:tab w:val="clear" w:pos="851"/>
          <w:tab w:val="clear" w:pos="1247"/>
          <w:tab w:val="clear" w:pos="5670"/>
          <w:tab w:val="clear" w:pos="7088"/>
        </w:tabs>
        <w:contextualSpacing w:val="0"/>
        <w:rPr>
          <w:rFonts w:cs="Arial"/>
          <w:color w:val="222222"/>
          <w:sz w:val="21"/>
          <w:szCs w:val="21"/>
        </w:rPr>
      </w:pPr>
      <w:r w:rsidRPr="0035421A">
        <w:rPr>
          <w:rFonts w:cs="Arial"/>
          <w:color w:val="222222"/>
          <w:sz w:val="21"/>
          <w:szCs w:val="21"/>
        </w:rPr>
        <w:t>linea di investimento 3.1 “Nuove competenze e nuovi linguaggi” - Missione 4 – Componente 1 – del PNRR per il potenziamento della formazione degli studenti sulle discipline STEM e per la promozione di percorsi di lingua e metodologia per i docenti e della</w:t>
      </w:r>
    </w:p>
    <w:p w:rsidR="006B0804" w:rsidRPr="0035421A" w:rsidRDefault="006B0804" w:rsidP="00863158">
      <w:pPr>
        <w:pStyle w:val="Paragrafoelenco"/>
        <w:numPr>
          <w:ilvl w:val="0"/>
          <w:numId w:val="6"/>
        </w:numPr>
        <w:shd w:val="clear" w:color="auto" w:fill="FFFFFF"/>
        <w:tabs>
          <w:tab w:val="clear" w:pos="397"/>
          <w:tab w:val="clear" w:pos="851"/>
          <w:tab w:val="clear" w:pos="1247"/>
          <w:tab w:val="clear" w:pos="5670"/>
          <w:tab w:val="clear" w:pos="7088"/>
        </w:tabs>
        <w:contextualSpacing w:val="0"/>
        <w:rPr>
          <w:rFonts w:cs="Arial"/>
          <w:color w:val="222222"/>
          <w:sz w:val="21"/>
          <w:szCs w:val="21"/>
        </w:rPr>
      </w:pPr>
      <w:r w:rsidRPr="0035421A">
        <w:rPr>
          <w:rFonts w:cs="Arial"/>
          <w:color w:val="222222"/>
          <w:sz w:val="21"/>
          <w:szCs w:val="21"/>
        </w:rPr>
        <w:t>linea di investimento 2.1 “Didattica digitale integrata e formazione alla transizione digitale del personale scolastico” - Missione 4 – Componente 1 – del PNRR per la formazione del personale scolastico su transizione digitale e metodologie innovative.</w:t>
      </w:r>
    </w:p>
    <w:p w:rsidR="006B0804" w:rsidRPr="00863158" w:rsidRDefault="006B0804" w:rsidP="00863158">
      <w:pPr>
        <w:shd w:val="clear" w:color="auto" w:fill="FFFFFF"/>
        <w:rPr>
          <w:rFonts w:cs="Arial"/>
          <w:color w:val="222222"/>
          <w:sz w:val="21"/>
          <w:szCs w:val="21"/>
        </w:rPr>
      </w:pPr>
      <w:r w:rsidRPr="00863158">
        <w:rPr>
          <w:rFonts w:cs="Arial"/>
          <w:color w:val="222222"/>
          <w:sz w:val="21"/>
          <w:szCs w:val="21"/>
        </w:rPr>
        <w:t>In merito il Direttore Generale dell’Unità di missione ha chiarito che:</w:t>
      </w:r>
    </w:p>
    <w:p w:rsidR="006B0804" w:rsidRPr="0035421A" w:rsidRDefault="006B0804" w:rsidP="00863158">
      <w:pPr>
        <w:pStyle w:val="Paragrafoelenco"/>
        <w:numPr>
          <w:ilvl w:val="0"/>
          <w:numId w:val="7"/>
        </w:numPr>
        <w:shd w:val="clear" w:color="auto" w:fill="FFFFFF"/>
        <w:tabs>
          <w:tab w:val="clear" w:pos="397"/>
          <w:tab w:val="clear" w:pos="851"/>
          <w:tab w:val="clear" w:pos="1247"/>
          <w:tab w:val="clear" w:pos="5670"/>
          <w:tab w:val="clear" w:pos="7088"/>
        </w:tabs>
        <w:contextualSpacing w:val="0"/>
        <w:rPr>
          <w:rFonts w:cs="Arial"/>
          <w:color w:val="222222"/>
          <w:sz w:val="21"/>
          <w:szCs w:val="21"/>
        </w:rPr>
      </w:pPr>
      <w:r w:rsidRPr="0035421A">
        <w:rPr>
          <w:rFonts w:cs="Arial"/>
          <w:color w:val="222222"/>
          <w:sz w:val="21"/>
          <w:szCs w:val="21"/>
        </w:rPr>
        <w:t>per quanto attiene alla linea di investimento 3.1 “Nuove competenze e nuovi linguaggi”, 600 milioni di euro saranno destinati a percorsi di potenziamento delle discipline STEM e delle competenze linguistiche e ripartiti tra tutte le scuole sulla base del numero degli studenti, mentre 150 milioni di euro saranno destinati</w:t>
      </w:r>
      <w:r w:rsidR="00AF4E10" w:rsidRPr="0035421A">
        <w:rPr>
          <w:rFonts w:cs="Arial"/>
          <w:color w:val="222222"/>
          <w:sz w:val="21"/>
          <w:szCs w:val="21"/>
        </w:rPr>
        <w:t xml:space="preserve"> </w:t>
      </w:r>
      <w:r w:rsidRPr="0035421A">
        <w:rPr>
          <w:rFonts w:cs="Arial"/>
          <w:color w:val="222222"/>
          <w:sz w:val="21"/>
          <w:szCs w:val="21"/>
        </w:rPr>
        <w:t>a percorsi di formazione di lingua e di metodologia e ripartiti tra tutte le scuole sulla base del numero dei docenti;</w:t>
      </w:r>
    </w:p>
    <w:p w:rsidR="006B0804" w:rsidRPr="0035421A" w:rsidRDefault="006B0804" w:rsidP="00863158">
      <w:pPr>
        <w:pStyle w:val="Paragrafoelenco"/>
        <w:numPr>
          <w:ilvl w:val="0"/>
          <w:numId w:val="7"/>
        </w:numPr>
        <w:shd w:val="clear" w:color="auto" w:fill="FFFFFF"/>
        <w:tabs>
          <w:tab w:val="clear" w:pos="397"/>
          <w:tab w:val="clear" w:pos="851"/>
          <w:tab w:val="clear" w:pos="1247"/>
          <w:tab w:val="clear" w:pos="5670"/>
          <w:tab w:val="clear" w:pos="7088"/>
        </w:tabs>
        <w:contextualSpacing w:val="0"/>
        <w:rPr>
          <w:rFonts w:cs="Arial"/>
          <w:color w:val="222222"/>
          <w:sz w:val="21"/>
          <w:szCs w:val="21"/>
        </w:rPr>
      </w:pPr>
      <w:r w:rsidRPr="0035421A">
        <w:rPr>
          <w:rFonts w:cs="Arial"/>
          <w:color w:val="222222"/>
          <w:sz w:val="21"/>
          <w:szCs w:val="21"/>
        </w:rPr>
        <w:t>per quanto attiene alla linea di investimento 2.1 “Didattica digitale integrata e formazione alla transizione digitale del personale scolastico”, 450 milioni di euro saranno destinati alla formazione dei docenti sulla transizione digitale e sul supporto alle azioni del Piano scuola 4.0 e del personale amministrativo e dei dirigenti scolastici sull’innovazione digitale e sulle metodologie innovative e ripartiti tra tutte le scuole sulla base del numero del personale in servizio.</w:t>
      </w:r>
    </w:p>
    <w:p w:rsidR="006B0804" w:rsidRPr="00863158" w:rsidRDefault="006B0804" w:rsidP="00863158">
      <w:pPr>
        <w:shd w:val="clear" w:color="auto" w:fill="FFFFFF"/>
        <w:rPr>
          <w:rFonts w:cs="Arial"/>
          <w:color w:val="222222"/>
          <w:sz w:val="21"/>
          <w:szCs w:val="21"/>
        </w:rPr>
      </w:pPr>
      <w:r w:rsidRPr="00863158">
        <w:rPr>
          <w:rFonts w:cs="Arial"/>
          <w:color w:val="222222"/>
          <w:sz w:val="21"/>
          <w:szCs w:val="21"/>
        </w:rPr>
        <w:t>La nostra delegazione prendendo atto dello stanziamento di queste ingenti risorse che le scuole sono chiamate a gestire, ha sottolineato il limite</w:t>
      </w:r>
      <w:r w:rsidR="0036406E" w:rsidRPr="00863158">
        <w:rPr>
          <w:rFonts w:cs="Arial"/>
          <w:color w:val="222222"/>
          <w:sz w:val="21"/>
          <w:szCs w:val="21"/>
        </w:rPr>
        <w:t xml:space="preserve">, per la loro distribuzione, </w:t>
      </w:r>
      <w:r w:rsidRPr="00863158">
        <w:rPr>
          <w:rFonts w:cs="Arial"/>
          <w:color w:val="222222"/>
          <w:sz w:val="21"/>
          <w:szCs w:val="21"/>
        </w:rPr>
        <w:t>di un calcolo</w:t>
      </w:r>
      <w:r w:rsidR="00AF4E10">
        <w:rPr>
          <w:rFonts w:cs="Arial"/>
          <w:color w:val="222222"/>
          <w:sz w:val="21"/>
          <w:szCs w:val="21"/>
        </w:rPr>
        <w:t xml:space="preserve"> </w:t>
      </w:r>
      <w:r w:rsidR="0036406E" w:rsidRPr="00863158">
        <w:rPr>
          <w:rFonts w:cs="Arial"/>
          <w:color w:val="222222"/>
          <w:sz w:val="21"/>
          <w:szCs w:val="21"/>
        </w:rPr>
        <w:t xml:space="preserve">che viene </w:t>
      </w:r>
      <w:r w:rsidRPr="00863158">
        <w:rPr>
          <w:rFonts w:cs="Arial"/>
          <w:color w:val="222222"/>
          <w:sz w:val="21"/>
          <w:szCs w:val="21"/>
        </w:rPr>
        <w:t>effettuato in ragione del solo personale di ruolo, ed ha chiesto che:</w:t>
      </w:r>
    </w:p>
    <w:p w:rsidR="006B0804" w:rsidRPr="00863158" w:rsidRDefault="006B0804" w:rsidP="00863158">
      <w:pPr>
        <w:pStyle w:val="Paragrafoelenco"/>
        <w:numPr>
          <w:ilvl w:val="0"/>
          <w:numId w:val="5"/>
        </w:numPr>
        <w:shd w:val="clear" w:color="auto" w:fill="FFFFFF"/>
        <w:tabs>
          <w:tab w:val="clear" w:pos="397"/>
          <w:tab w:val="clear" w:pos="851"/>
          <w:tab w:val="clear" w:pos="1247"/>
          <w:tab w:val="clear" w:pos="5670"/>
          <w:tab w:val="clear" w:pos="7088"/>
        </w:tabs>
        <w:contextualSpacing w:val="0"/>
        <w:rPr>
          <w:rFonts w:cs="Arial"/>
          <w:color w:val="222222"/>
          <w:sz w:val="21"/>
          <w:szCs w:val="21"/>
        </w:rPr>
      </w:pPr>
      <w:r w:rsidRPr="00863158">
        <w:rPr>
          <w:rFonts w:cs="Arial"/>
          <w:color w:val="222222"/>
          <w:sz w:val="21"/>
          <w:szCs w:val="21"/>
        </w:rPr>
        <w:t>su tutta la materia ci siano comunque ulteriori futuri momenti di approfondimento con le Organizzazioni sindacali;</w:t>
      </w:r>
    </w:p>
    <w:p w:rsidR="006B0804" w:rsidRPr="00863158" w:rsidRDefault="006B0804" w:rsidP="00863158">
      <w:pPr>
        <w:pStyle w:val="Paragrafoelenco"/>
        <w:numPr>
          <w:ilvl w:val="0"/>
          <w:numId w:val="5"/>
        </w:numPr>
        <w:shd w:val="clear" w:color="auto" w:fill="FFFFFF"/>
        <w:tabs>
          <w:tab w:val="clear" w:pos="397"/>
          <w:tab w:val="clear" w:pos="851"/>
          <w:tab w:val="clear" w:pos="1247"/>
          <w:tab w:val="clear" w:pos="5670"/>
          <w:tab w:val="clear" w:pos="7088"/>
        </w:tabs>
        <w:contextualSpacing w:val="0"/>
        <w:rPr>
          <w:rFonts w:cs="Arial"/>
          <w:color w:val="222222"/>
          <w:sz w:val="21"/>
          <w:szCs w:val="21"/>
        </w:rPr>
      </w:pPr>
      <w:r w:rsidRPr="00863158">
        <w:rPr>
          <w:rFonts w:cs="Arial"/>
          <w:color w:val="222222"/>
          <w:sz w:val="21"/>
          <w:szCs w:val="21"/>
        </w:rPr>
        <w:t>in generale le scuole siano supportate dal MIM nella gestione e nell’utilizzo di tutte le risorse legate al PNRR, che in questi mesi stanno arrivando a pioggia per le diverse finalità del Piano Nazionale.</w:t>
      </w:r>
    </w:p>
    <w:p w:rsidR="006B0804" w:rsidRPr="00863158" w:rsidRDefault="006B0804" w:rsidP="00863158">
      <w:pPr>
        <w:shd w:val="clear" w:color="auto" w:fill="FFFFFF"/>
        <w:rPr>
          <w:rFonts w:cs="Arial"/>
          <w:color w:val="222222"/>
          <w:sz w:val="21"/>
          <w:szCs w:val="21"/>
        </w:rPr>
      </w:pPr>
    </w:p>
    <w:p w:rsidR="006B0804" w:rsidRPr="0035421A" w:rsidRDefault="006B0804" w:rsidP="00863158">
      <w:pPr>
        <w:shd w:val="clear" w:color="auto" w:fill="FFFFFF"/>
        <w:rPr>
          <w:rFonts w:cs="Arial"/>
          <w:color w:val="1F1F1F"/>
          <w:sz w:val="21"/>
          <w:szCs w:val="21"/>
          <w:shd w:val="clear" w:color="auto" w:fill="FFFFFF"/>
        </w:rPr>
      </w:pPr>
      <w:r w:rsidRPr="0035421A">
        <w:rPr>
          <w:rFonts w:cs="Arial"/>
          <w:color w:val="222222"/>
          <w:sz w:val="21"/>
          <w:szCs w:val="21"/>
        </w:rPr>
        <w:t xml:space="preserve">Nella seconda parte dell’incontro si è affrontato il tema del </w:t>
      </w:r>
      <w:r w:rsidRPr="0035421A">
        <w:rPr>
          <w:rFonts w:cs="Arial"/>
          <w:color w:val="1F1F1F"/>
          <w:sz w:val="21"/>
          <w:szCs w:val="21"/>
          <w:shd w:val="clear" w:color="auto" w:fill="FFFFFF"/>
        </w:rPr>
        <w:t>Confronto sugli abilitati e specializzati sul sostegno con titolo estero e, quindi, lo Schema di O.M. di modifica all'articolo 7, comma 4, lettera e), dell'Ordinanza Ministeriale del 06 maggio 2022 numero 112.</w:t>
      </w:r>
    </w:p>
    <w:p w:rsidR="006B0804" w:rsidRPr="00863158" w:rsidRDefault="006B0804" w:rsidP="00863158">
      <w:pPr>
        <w:shd w:val="clear" w:color="auto" w:fill="FFFFFF"/>
        <w:rPr>
          <w:rFonts w:cs="Arial"/>
          <w:color w:val="212529"/>
          <w:sz w:val="21"/>
          <w:szCs w:val="21"/>
        </w:rPr>
      </w:pPr>
      <w:r w:rsidRPr="00863158">
        <w:rPr>
          <w:rFonts w:cs="Arial"/>
          <w:color w:val="1F1F1F"/>
          <w:sz w:val="21"/>
          <w:szCs w:val="21"/>
          <w:u w:val="single"/>
          <w:shd w:val="clear" w:color="auto" w:fill="FFFFFF"/>
        </w:rPr>
        <w:t>L’Amministrazione</w:t>
      </w:r>
      <w:r w:rsidRPr="00863158">
        <w:rPr>
          <w:rFonts w:cs="Arial"/>
          <w:color w:val="1F1F1F"/>
          <w:sz w:val="21"/>
          <w:szCs w:val="21"/>
          <w:shd w:val="clear" w:color="auto" w:fill="FFFFFF"/>
        </w:rPr>
        <w:t xml:space="preserve"> dopo aver </w:t>
      </w:r>
      <w:r w:rsidRPr="00863158">
        <w:rPr>
          <w:rFonts w:cs="Arial"/>
          <w:color w:val="222222"/>
          <w:sz w:val="21"/>
          <w:szCs w:val="21"/>
        </w:rPr>
        <w:t xml:space="preserve">comunicato i numeri del personale interessato [11.194 i docenti che hanno richiesto il riconoscimento del titolo di cui 11.075 inseriti con riserva nella I fascia delle GPS. Le regioni con più docenti inseriti con riserva nelle GPS e in attesa di convalida del titolo sono Sicilia (3.211), Calabria (1.459), Puglia (1.326), Lombardia (1.244), Lazio (1.079) e Campania (819). Del totale delle domande presentate 8.579 sono sul sostegno (di cui 6.112 sul secondo grado) e 2.615 su posto comune (di cui 1.932 sul secondo grado)] </w:t>
      </w:r>
      <w:r w:rsidRPr="00863158">
        <w:rPr>
          <w:rFonts w:cs="Arial"/>
          <w:color w:val="222222"/>
          <w:sz w:val="21"/>
          <w:szCs w:val="21"/>
          <w:u w:val="single"/>
        </w:rPr>
        <w:t xml:space="preserve">ha reso noto di </w:t>
      </w:r>
      <w:r w:rsidRPr="00863158">
        <w:rPr>
          <w:rFonts w:cs="Arial"/>
          <w:color w:val="212529"/>
          <w:sz w:val="21"/>
          <w:szCs w:val="21"/>
          <w:u w:val="single"/>
        </w:rPr>
        <w:t>non voler più intervenire sull’OM, ritenuta uno strumento inidoneo, ma di ragionare su una modifica a livello normativo</w:t>
      </w:r>
      <w:r w:rsidRPr="00863158">
        <w:rPr>
          <w:rFonts w:cs="Arial"/>
          <w:color w:val="212529"/>
          <w:sz w:val="21"/>
          <w:szCs w:val="21"/>
        </w:rPr>
        <w:t>.</w:t>
      </w:r>
    </w:p>
    <w:p w:rsidR="0035421A" w:rsidRPr="0035421A" w:rsidRDefault="0035421A" w:rsidP="0035421A">
      <w:pPr>
        <w:shd w:val="clear" w:color="auto" w:fill="FFFFFF"/>
        <w:rPr>
          <w:rFonts w:cs="Arial"/>
          <w:color w:val="222222"/>
          <w:sz w:val="21"/>
          <w:szCs w:val="21"/>
        </w:rPr>
      </w:pPr>
      <w:r w:rsidRPr="0035421A">
        <w:rPr>
          <w:rFonts w:cs="Arial"/>
          <w:color w:val="222222"/>
          <w:sz w:val="21"/>
          <w:szCs w:val="21"/>
        </w:rPr>
        <w:t xml:space="preserve">Il Capo Dipartimento ha poi reso noto che si sta valutando la possibilità di collocare gli abilitati all’estero in attesa di riconoscimento in coda agli elenchi aggiuntivi alla prima fascia delle GPS e prima della seconda fascia delle GPS, consentendo loro di avere contratti a </w:t>
      </w:r>
      <w:r w:rsidRPr="0035421A">
        <w:rPr>
          <w:rFonts w:cs="Arial"/>
          <w:color w:val="222222"/>
          <w:sz w:val="21"/>
          <w:szCs w:val="21"/>
        </w:rPr>
        <w:lastRenderedPageBreak/>
        <w:t>tempo determinato, ma non di partecipare alla procedura di immissione in ruolo: tutti coloro che avranno il riconoscimento del titolo avranno la priorità nelle nomine in ruolo dell’anno scolastico successivo.</w:t>
      </w:r>
    </w:p>
    <w:p w:rsidR="0035421A" w:rsidRDefault="0035421A" w:rsidP="0035421A">
      <w:pPr>
        <w:shd w:val="clear" w:color="auto" w:fill="FFFFFF"/>
        <w:rPr>
          <w:rFonts w:cs="Arial"/>
          <w:color w:val="222222"/>
          <w:sz w:val="21"/>
          <w:szCs w:val="21"/>
        </w:rPr>
      </w:pPr>
      <w:r w:rsidRPr="0035421A">
        <w:rPr>
          <w:rFonts w:cs="Arial"/>
          <w:color w:val="222222"/>
          <w:sz w:val="21"/>
          <w:szCs w:val="21"/>
        </w:rPr>
        <w:t>L’Amministrazione ha comunicato che, al fine di ridurre i tempi di lavorazione delle domande, sta valutando la possibilità di affidare ad un Consorzio esterno, formato da 40 esperti, l’analisi dei titoli esteri e le procedure di comparazione per il riconoscimento della loro validità in Italia.</w:t>
      </w:r>
    </w:p>
    <w:p w:rsidR="00E92E09" w:rsidRPr="00863158" w:rsidRDefault="006B0804" w:rsidP="00863158">
      <w:pPr>
        <w:shd w:val="clear" w:color="auto" w:fill="FFFFFF"/>
        <w:rPr>
          <w:rFonts w:cs="Arial"/>
          <w:color w:val="222222"/>
          <w:sz w:val="21"/>
          <w:szCs w:val="21"/>
        </w:rPr>
      </w:pPr>
      <w:r w:rsidRPr="00863158">
        <w:rPr>
          <w:rFonts w:cs="Arial"/>
          <w:color w:val="222222"/>
          <w:sz w:val="21"/>
          <w:szCs w:val="21"/>
        </w:rPr>
        <w:t>Lo Snals-Confsal ha chiesto</w:t>
      </w:r>
      <w:r w:rsidR="00471A5D" w:rsidRPr="00863158">
        <w:rPr>
          <w:rFonts w:cs="Arial"/>
          <w:color w:val="222222"/>
          <w:sz w:val="21"/>
          <w:szCs w:val="21"/>
        </w:rPr>
        <w:t>, con forza,</w:t>
      </w:r>
      <w:r w:rsidRPr="00863158">
        <w:rPr>
          <w:rFonts w:cs="Arial"/>
          <w:color w:val="222222"/>
          <w:sz w:val="21"/>
          <w:szCs w:val="21"/>
        </w:rPr>
        <w:t xml:space="preserve"> che le oltre 11.000 domande dei docenti con il titolo conseguito all’estero vengano lavorate entro il corrente anno scolastico e che nel frattempo siano garantiti i diritti di coloro che sono inseriti a pieno titolo nella prima fascia delle GPS e di chi è inserito nella seconda fascia delle GPS di sostegno con 3 anni di insegnamento, evidenziando che la supplenza assegnata al docente in attesa di riconoscimento del titolo estero potrebbe decadere nel momento in cui non venisse riconosciuto</w:t>
      </w:r>
      <w:r w:rsidR="007521F8" w:rsidRPr="00863158">
        <w:rPr>
          <w:rFonts w:cs="Arial"/>
          <w:color w:val="222222"/>
          <w:sz w:val="21"/>
          <w:szCs w:val="21"/>
        </w:rPr>
        <w:t>.</w:t>
      </w:r>
    </w:p>
    <w:p w:rsidR="007310CF" w:rsidRPr="00863158" w:rsidRDefault="007310CF" w:rsidP="00863158">
      <w:pPr>
        <w:shd w:val="clear" w:color="auto" w:fill="FFFFFF"/>
        <w:rPr>
          <w:rFonts w:cs="Arial"/>
          <w:color w:val="222222"/>
          <w:sz w:val="21"/>
          <w:szCs w:val="21"/>
        </w:rPr>
      </w:pPr>
    </w:p>
    <w:p w:rsidR="00863158" w:rsidRPr="00863158" w:rsidRDefault="00863158" w:rsidP="00863158">
      <w:pPr>
        <w:shd w:val="clear" w:color="auto" w:fill="FFFFFF"/>
        <w:rPr>
          <w:rFonts w:cs="Arial"/>
          <w:color w:val="222222"/>
          <w:sz w:val="21"/>
          <w:szCs w:val="21"/>
        </w:rPr>
      </w:pPr>
    </w:p>
    <w:p w:rsidR="00863158" w:rsidRPr="00863158" w:rsidRDefault="00863158" w:rsidP="00863158">
      <w:pPr>
        <w:shd w:val="clear" w:color="auto" w:fill="FFFFFF"/>
        <w:rPr>
          <w:rFonts w:cs="Arial"/>
          <w:color w:val="222222"/>
          <w:sz w:val="21"/>
          <w:szCs w:val="21"/>
        </w:rPr>
      </w:pPr>
    </w:p>
    <w:p w:rsidR="00F46331" w:rsidRPr="00863158" w:rsidRDefault="007310CF" w:rsidP="00863158">
      <w:pPr>
        <w:shd w:val="clear" w:color="auto" w:fill="FFFFFF"/>
        <w:rPr>
          <w:rFonts w:cs="Arial"/>
          <w:color w:val="222222"/>
          <w:sz w:val="21"/>
          <w:szCs w:val="21"/>
        </w:rPr>
      </w:pPr>
      <w:r w:rsidRPr="00863158">
        <w:rPr>
          <w:rFonts w:cs="Arial"/>
          <w:color w:val="222222"/>
          <w:sz w:val="21"/>
          <w:szCs w:val="21"/>
        </w:rPr>
        <w:t>*</w:t>
      </w:r>
      <w:r w:rsidR="00ED7923">
        <w:rPr>
          <w:rFonts w:cs="Arial"/>
          <w:color w:val="222222"/>
          <w:sz w:val="21"/>
          <w:szCs w:val="21"/>
        </w:rPr>
        <w:tab/>
      </w:r>
      <w:r w:rsidR="00F46331" w:rsidRPr="00863158">
        <w:rPr>
          <w:iCs/>
          <w:color w:val="000000"/>
          <w:sz w:val="21"/>
          <w:szCs w:val="21"/>
          <w:u w:val="single"/>
        </w:rPr>
        <w:t>ISTANZE INSERIMENTO ELENCHI AGGIUNTIVI GPS</w:t>
      </w:r>
    </w:p>
    <w:p w:rsidR="00F46331" w:rsidRPr="00863158" w:rsidRDefault="00F46331" w:rsidP="00863158">
      <w:pPr>
        <w:shd w:val="clear" w:color="auto" w:fill="FFFFFF"/>
        <w:rPr>
          <w:rFonts w:cs="Arial"/>
          <w:color w:val="222222"/>
          <w:sz w:val="21"/>
          <w:szCs w:val="21"/>
        </w:rPr>
      </w:pPr>
      <w:r w:rsidRPr="00863158">
        <w:rPr>
          <w:rFonts w:cs="Arial"/>
          <w:color w:val="222222"/>
          <w:sz w:val="21"/>
          <w:szCs w:val="21"/>
        </w:rPr>
        <w:t>In data 5 aprile si è tenuto presso il Ministero dell'Istruzione e del Merito un incontro avente per oggetto "istanza inserimento elenchi aggiuntivi". La parte pubblica è intervenuta supportata da esperti informatici i quali hanno presentato la piattaforma su istanze on line che si attiverà quasi certamente dal 12 al 27 aprile.</w:t>
      </w:r>
      <w:r w:rsidR="00AF4E10">
        <w:rPr>
          <w:rFonts w:cs="Arial"/>
          <w:color w:val="222222"/>
          <w:sz w:val="21"/>
          <w:szCs w:val="21"/>
        </w:rPr>
        <w:t xml:space="preserve"> </w:t>
      </w:r>
      <w:r w:rsidRPr="00863158">
        <w:rPr>
          <w:rFonts w:cs="Arial"/>
          <w:color w:val="222222"/>
          <w:sz w:val="21"/>
          <w:szCs w:val="21"/>
        </w:rPr>
        <w:t>Attraverso questa piattaforma</w:t>
      </w:r>
      <w:r w:rsidR="00AF4E10">
        <w:rPr>
          <w:rFonts w:cs="Arial"/>
          <w:color w:val="222222"/>
          <w:sz w:val="21"/>
          <w:szCs w:val="21"/>
        </w:rPr>
        <w:t xml:space="preserve"> </w:t>
      </w:r>
      <w:r w:rsidRPr="00863158">
        <w:rPr>
          <w:rFonts w:cs="Arial"/>
          <w:color w:val="222222"/>
          <w:sz w:val="21"/>
          <w:szCs w:val="21"/>
        </w:rPr>
        <w:t>si potranno inserire titoli di accesso alle graduatorie di</w:t>
      </w:r>
      <w:r w:rsidR="00AF4E10">
        <w:rPr>
          <w:rFonts w:cs="Arial"/>
          <w:color w:val="222222"/>
          <w:sz w:val="21"/>
          <w:szCs w:val="21"/>
        </w:rPr>
        <w:t xml:space="preserve"> </w:t>
      </w:r>
      <w:r w:rsidRPr="00863158">
        <w:rPr>
          <w:rFonts w:cs="Arial"/>
          <w:color w:val="222222"/>
          <w:sz w:val="21"/>
          <w:szCs w:val="21"/>
        </w:rPr>
        <w:t>prima fascia (titoli abilitanti).</w:t>
      </w:r>
    </w:p>
    <w:p w:rsidR="00F46331" w:rsidRPr="00863158" w:rsidRDefault="00F46331" w:rsidP="00863158">
      <w:pPr>
        <w:shd w:val="clear" w:color="auto" w:fill="FFFFFF"/>
        <w:rPr>
          <w:rFonts w:cs="Arial"/>
          <w:color w:val="222222"/>
          <w:sz w:val="21"/>
          <w:szCs w:val="21"/>
        </w:rPr>
      </w:pPr>
      <w:r w:rsidRPr="00863158">
        <w:rPr>
          <w:rFonts w:cs="Arial"/>
          <w:color w:val="222222"/>
          <w:sz w:val="21"/>
          <w:szCs w:val="21"/>
        </w:rPr>
        <w:t>Essendo “una finestra”, gli aspiranti che</w:t>
      </w:r>
      <w:r w:rsidR="00AF4E10">
        <w:rPr>
          <w:rFonts w:cs="Arial"/>
          <w:color w:val="222222"/>
          <w:sz w:val="21"/>
          <w:szCs w:val="21"/>
        </w:rPr>
        <w:t xml:space="preserve"> </w:t>
      </w:r>
      <w:r w:rsidRPr="00863158">
        <w:rPr>
          <w:rFonts w:cs="Arial"/>
          <w:color w:val="222222"/>
          <w:sz w:val="21"/>
          <w:szCs w:val="21"/>
        </w:rPr>
        <w:t>conseguiranno</w:t>
      </w:r>
      <w:r w:rsidR="00AF4E10">
        <w:rPr>
          <w:rFonts w:cs="Arial"/>
          <w:color w:val="222222"/>
          <w:sz w:val="21"/>
          <w:szCs w:val="21"/>
        </w:rPr>
        <w:t xml:space="preserve"> </w:t>
      </w:r>
      <w:r w:rsidRPr="00863158">
        <w:rPr>
          <w:rFonts w:cs="Arial"/>
          <w:color w:val="222222"/>
          <w:sz w:val="21"/>
          <w:szCs w:val="21"/>
        </w:rPr>
        <w:t xml:space="preserve">l’ abilitazione o la specializzazione sul sostegno entro il 4 luglio 2023 </w:t>
      </w:r>
      <w:r w:rsidR="00776176" w:rsidRPr="00863158">
        <w:rPr>
          <w:rFonts w:cs="Arial"/>
          <w:color w:val="222222"/>
          <w:sz w:val="21"/>
          <w:szCs w:val="21"/>
        </w:rPr>
        <w:t>si</w:t>
      </w:r>
      <w:r w:rsidRPr="00863158">
        <w:rPr>
          <w:rFonts w:cs="Arial"/>
          <w:color w:val="222222"/>
          <w:sz w:val="21"/>
          <w:szCs w:val="21"/>
        </w:rPr>
        <w:t xml:space="preserve"> inserir</w:t>
      </w:r>
      <w:r w:rsidR="00776176" w:rsidRPr="00863158">
        <w:rPr>
          <w:rFonts w:cs="Arial"/>
          <w:color w:val="222222"/>
          <w:sz w:val="21"/>
          <w:szCs w:val="21"/>
        </w:rPr>
        <w:t>anno</w:t>
      </w:r>
      <w:r w:rsidRPr="00863158">
        <w:rPr>
          <w:rFonts w:cs="Arial"/>
          <w:color w:val="222222"/>
          <w:sz w:val="21"/>
          <w:szCs w:val="21"/>
        </w:rPr>
        <w:t xml:space="preserve"> in coda alla</w:t>
      </w:r>
      <w:r w:rsidR="00AF4E10">
        <w:rPr>
          <w:rFonts w:cs="Arial"/>
          <w:color w:val="222222"/>
          <w:sz w:val="21"/>
          <w:szCs w:val="21"/>
        </w:rPr>
        <w:t xml:space="preserve"> </w:t>
      </w:r>
      <w:r w:rsidRPr="00863158">
        <w:rPr>
          <w:rFonts w:cs="Arial"/>
          <w:color w:val="222222"/>
          <w:sz w:val="21"/>
          <w:szCs w:val="21"/>
        </w:rPr>
        <w:t>prima fascia . Nel 2024, in occasione dell’aggiornamento delle GPS, potranno inserirsi</w:t>
      </w:r>
      <w:r w:rsidR="00AF4E10">
        <w:rPr>
          <w:rFonts w:cs="Arial"/>
          <w:color w:val="222222"/>
          <w:sz w:val="21"/>
          <w:szCs w:val="21"/>
        </w:rPr>
        <w:t xml:space="preserve"> </w:t>
      </w:r>
      <w:r w:rsidRPr="00863158">
        <w:rPr>
          <w:rFonts w:cs="Arial"/>
          <w:color w:val="222222"/>
          <w:sz w:val="21"/>
          <w:szCs w:val="21"/>
        </w:rPr>
        <w:t>in 1 fascia .</w:t>
      </w:r>
    </w:p>
    <w:p w:rsidR="00F46331" w:rsidRPr="00863158" w:rsidRDefault="00F46331" w:rsidP="00863158">
      <w:pPr>
        <w:shd w:val="clear" w:color="auto" w:fill="FFFFFF"/>
        <w:rPr>
          <w:rFonts w:cs="Arial"/>
          <w:color w:val="222222"/>
          <w:sz w:val="21"/>
          <w:szCs w:val="21"/>
        </w:rPr>
      </w:pPr>
      <w:r w:rsidRPr="00863158">
        <w:rPr>
          <w:rFonts w:cs="Arial"/>
          <w:color w:val="222222"/>
          <w:sz w:val="21"/>
          <w:szCs w:val="21"/>
        </w:rPr>
        <w:t xml:space="preserve">Gli aspiranti compileranno questa prima istanza dal 12 al 27 aprile 2023 e poi una seconda istanza per lo </w:t>
      </w:r>
      <w:r w:rsidR="00776176" w:rsidRPr="00863158">
        <w:rPr>
          <w:rFonts w:cs="Arial"/>
          <w:color w:val="222222"/>
          <w:sz w:val="21"/>
          <w:szCs w:val="21"/>
        </w:rPr>
        <w:t>scioglimento</w:t>
      </w:r>
      <w:r w:rsidRPr="00863158">
        <w:rPr>
          <w:rFonts w:cs="Arial"/>
          <w:color w:val="222222"/>
          <w:sz w:val="21"/>
          <w:szCs w:val="21"/>
        </w:rPr>
        <w:t xml:space="preserve"> della riserva dal 30 giugno al 4 luglio</w:t>
      </w:r>
      <w:r w:rsidR="00776176" w:rsidRPr="00863158">
        <w:rPr>
          <w:rFonts w:cs="Arial"/>
          <w:color w:val="222222"/>
          <w:sz w:val="21"/>
          <w:szCs w:val="21"/>
        </w:rPr>
        <w:t xml:space="preserve"> 2023</w:t>
      </w:r>
      <w:r w:rsidRPr="00863158">
        <w:rPr>
          <w:rFonts w:cs="Arial"/>
          <w:color w:val="222222"/>
          <w:sz w:val="21"/>
          <w:szCs w:val="21"/>
        </w:rPr>
        <w:t>.</w:t>
      </w:r>
    </w:p>
    <w:p w:rsidR="00F46331" w:rsidRPr="00863158" w:rsidRDefault="00F46331" w:rsidP="00863158">
      <w:pPr>
        <w:shd w:val="clear" w:color="auto" w:fill="FFFFFF"/>
        <w:rPr>
          <w:rFonts w:cs="Arial"/>
          <w:color w:val="222222"/>
          <w:sz w:val="21"/>
          <w:szCs w:val="21"/>
        </w:rPr>
      </w:pPr>
      <w:r w:rsidRPr="00863158">
        <w:rPr>
          <w:rFonts w:cs="Arial"/>
          <w:color w:val="222222"/>
          <w:sz w:val="21"/>
          <w:szCs w:val="21"/>
        </w:rPr>
        <w:t>Le categorie principalmente interessate da questa istanza sono</w:t>
      </w:r>
      <w:r w:rsidR="00776176" w:rsidRPr="00863158">
        <w:rPr>
          <w:rFonts w:cs="Arial"/>
          <w:color w:val="222222"/>
          <w:sz w:val="21"/>
          <w:szCs w:val="21"/>
        </w:rPr>
        <w:t>:</w:t>
      </w:r>
    </w:p>
    <w:p w:rsidR="00F46331" w:rsidRPr="00863158" w:rsidRDefault="00F46331" w:rsidP="00ED7923">
      <w:pPr>
        <w:shd w:val="clear" w:color="auto" w:fill="FFFFFF"/>
        <w:ind w:left="397" w:hanging="397"/>
        <w:rPr>
          <w:rFonts w:cs="Arial"/>
          <w:color w:val="222222"/>
          <w:sz w:val="21"/>
          <w:szCs w:val="21"/>
        </w:rPr>
      </w:pPr>
      <w:r w:rsidRPr="00863158">
        <w:rPr>
          <w:rFonts w:cs="Arial"/>
          <w:color w:val="222222"/>
          <w:sz w:val="21"/>
          <w:szCs w:val="21"/>
        </w:rPr>
        <w:t xml:space="preserve">- </w:t>
      </w:r>
      <w:r w:rsidR="00ED7923">
        <w:rPr>
          <w:rFonts w:cs="Arial"/>
          <w:color w:val="222222"/>
          <w:sz w:val="21"/>
          <w:szCs w:val="21"/>
        </w:rPr>
        <w:tab/>
      </w:r>
      <w:r w:rsidRPr="00863158">
        <w:rPr>
          <w:rFonts w:cs="Arial"/>
          <w:color w:val="222222"/>
          <w:sz w:val="21"/>
          <w:szCs w:val="21"/>
        </w:rPr>
        <w:t>gli abilitati attraverso il superamento del co</w:t>
      </w:r>
      <w:r w:rsidR="00776176" w:rsidRPr="00863158">
        <w:rPr>
          <w:rFonts w:cs="Arial"/>
          <w:color w:val="222222"/>
          <w:sz w:val="21"/>
          <w:szCs w:val="21"/>
        </w:rPr>
        <w:t>n</w:t>
      </w:r>
      <w:r w:rsidRPr="00863158">
        <w:rPr>
          <w:rFonts w:cs="Arial"/>
          <w:color w:val="222222"/>
          <w:sz w:val="21"/>
          <w:szCs w:val="21"/>
        </w:rPr>
        <w:t xml:space="preserve">corso a cattedra ordinario scuola secondaria 2 grado posto comune ( le cui </w:t>
      </w:r>
      <w:r w:rsidR="00776176" w:rsidRPr="00863158">
        <w:rPr>
          <w:rFonts w:cs="Arial"/>
          <w:color w:val="222222"/>
          <w:sz w:val="21"/>
          <w:szCs w:val="21"/>
        </w:rPr>
        <w:t>GM</w:t>
      </w:r>
      <w:r w:rsidRPr="00863158">
        <w:rPr>
          <w:rFonts w:cs="Arial"/>
          <w:color w:val="222222"/>
          <w:sz w:val="21"/>
          <w:szCs w:val="21"/>
        </w:rPr>
        <w:t xml:space="preserve"> sono state pubblicate dopo l’aggiornamento GPS del 2022)</w:t>
      </w:r>
    </w:p>
    <w:p w:rsidR="00F46331" w:rsidRPr="00863158" w:rsidRDefault="00F46331" w:rsidP="00ED7923">
      <w:pPr>
        <w:shd w:val="clear" w:color="auto" w:fill="FFFFFF"/>
        <w:ind w:left="397" w:hanging="397"/>
        <w:rPr>
          <w:rFonts w:cs="Arial"/>
          <w:color w:val="222222"/>
          <w:sz w:val="21"/>
          <w:szCs w:val="21"/>
        </w:rPr>
      </w:pPr>
      <w:r w:rsidRPr="00863158">
        <w:rPr>
          <w:rFonts w:cs="Arial"/>
          <w:color w:val="222222"/>
          <w:sz w:val="21"/>
          <w:szCs w:val="21"/>
        </w:rPr>
        <w:t xml:space="preserve">- </w:t>
      </w:r>
      <w:r w:rsidR="00ED7923">
        <w:rPr>
          <w:rFonts w:cs="Arial"/>
          <w:color w:val="222222"/>
          <w:sz w:val="21"/>
          <w:szCs w:val="21"/>
        </w:rPr>
        <w:tab/>
      </w:r>
      <w:r w:rsidRPr="00863158">
        <w:rPr>
          <w:rFonts w:cs="Arial"/>
          <w:color w:val="222222"/>
          <w:sz w:val="21"/>
          <w:szCs w:val="21"/>
        </w:rPr>
        <w:t>i nuovi laureati in scienze della formazione primaria LM85bis entro</w:t>
      </w:r>
      <w:r w:rsidR="00AF4E10">
        <w:rPr>
          <w:rFonts w:cs="Arial"/>
          <w:color w:val="222222"/>
          <w:sz w:val="21"/>
          <w:szCs w:val="21"/>
        </w:rPr>
        <w:t xml:space="preserve"> </w:t>
      </w:r>
      <w:r w:rsidRPr="00863158">
        <w:rPr>
          <w:rFonts w:cs="Arial"/>
          <w:color w:val="222222"/>
          <w:sz w:val="21"/>
          <w:szCs w:val="21"/>
        </w:rPr>
        <w:t>il 30 giugno 2023</w:t>
      </w:r>
    </w:p>
    <w:p w:rsidR="00F46331" w:rsidRPr="00863158" w:rsidRDefault="00F46331" w:rsidP="00ED7923">
      <w:pPr>
        <w:shd w:val="clear" w:color="auto" w:fill="FFFFFF"/>
        <w:ind w:left="397" w:hanging="397"/>
        <w:rPr>
          <w:rFonts w:cs="Arial"/>
          <w:color w:val="222222"/>
          <w:sz w:val="21"/>
          <w:szCs w:val="21"/>
        </w:rPr>
      </w:pPr>
      <w:r w:rsidRPr="00863158">
        <w:rPr>
          <w:rFonts w:cs="Arial"/>
          <w:color w:val="222222"/>
          <w:sz w:val="21"/>
          <w:szCs w:val="21"/>
        </w:rPr>
        <w:t xml:space="preserve">- </w:t>
      </w:r>
      <w:r w:rsidR="00ED7923">
        <w:rPr>
          <w:rFonts w:cs="Arial"/>
          <w:color w:val="222222"/>
          <w:sz w:val="21"/>
          <w:szCs w:val="21"/>
        </w:rPr>
        <w:tab/>
      </w:r>
      <w:r w:rsidR="00776176" w:rsidRPr="00863158">
        <w:rPr>
          <w:rFonts w:cs="Arial"/>
          <w:color w:val="222222"/>
          <w:sz w:val="21"/>
          <w:szCs w:val="21"/>
        </w:rPr>
        <w:t>gli aspiranti che</w:t>
      </w:r>
      <w:r w:rsidR="00AF4E10">
        <w:rPr>
          <w:rFonts w:cs="Arial"/>
          <w:color w:val="222222"/>
          <w:sz w:val="21"/>
          <w:szCs w:val="21"/>
        </w:rPr>
        <w:t xml:space="preserve"> </w:t>
      </w:r>
      <w:r w:rsidRPr="00863158">
        <w:rPr>
          <w:rFonts w:cs="Arial"/>
          <w:color w:val="222222"/>
          <w:sz w:val="21"/>
          <w:szCs w:val="21"/>
        </w:rPr>
        <w:t>conseguira</w:t>
      </w:r>
      <w:r w:rsidR="00776176" w:rsidRPr="00863158">
        <w:rPr>
          <w:rFonts w:cs="Arial"/>
          <w:color w:val="222222"/>
          <w:sz w:val="21"/>
          <w:szCs w:val="21"/>
        </w:rPr>
        <w:t>nno</w:t>
      </w:r>
      <w:r w:rsidRPr="00863158">
        <w:rPr>
          <w:rFonts w:cs="Arial"/>
          <w:color w:val="222222"/>
          <w:sz w:val="21"/>
          <w:szCs w:val="21"/>
        </w:rPr>
        <w:t xml:space="preserve"> il </w:t>
      </w:r>
      <w:r w:rsidR="00776176" w:rsidRPr="00863158">
        <w:rPr>
          <w:rFonts w:cs="Arial"/>
          <w:color w:val="222222"/>
          <w:sz w:val="21"/>
          <w:szCs w:val="21"/>
        </w:rPr>
        <w:t>TFA</w:t>
      </w:r>
      <w:r w:rsidRPr="00863158">
        <w:rPr>
          <w:rFonts w:cs="Arial"/>
          <w:color w:val="222222"/>
          <w:sz w:val="21"/>
          <w:szCs w:val="21"/>
        </w:rPr>
        <w:t xml:space="preserve"> sostegno entro il 30 giugno 2023</w:t>
      </w:r>
      <w:r w:rsidR="00776176" w:rsidRPr="00863158">
        <w:rPr>
          <w:rFonts w:cs="Arial"/>
          <w:color w:val="222222"/>
          <w:sz w:val="21"/>
          <w:szCs w:val="21"/>
        </w:rPr>
        <w:t>.</w:t>
      </w:r>
    </w:p>
    <w:p w:rsidR="00F46331" w:rsidRPr="00863158" w:rsidRDefault="00F46331" w:rsidP="00863158">
      <w:pPr>
        <w:shd w:val="clear" w:color="auto" w:fill="FFFFFF"/>
        <w:rPr>
          <w:rFonts w:cs="Arial"/>
          <w:color w:val="222222"/>
          <w:sz w:val="21"/>
          <w:szCs w:val="21"/>
        </w:rPr>
      </w:pPr>
      <w:r w:rsidRPr="00863158">
        <w:rPr>
          <w:rFonts w:cs="Arial"/>
          <w:color w:val="222222"/>
          <w:sz w:val="21"/>
          <w:szCs w:val="21"/>
        </w:rPr>
        <w:t>Di seguito alcuni tra i principali punti di rilievo</w:t>
      </w:r>
      <w:r w:rsidR="00776176" w:rsidRPr="00863158">
        <w:rPr>
          <w:rFonts w:cs="Arial"/>
          <w:color w:val="222222"/>
          <w:sz w:val="21"/>
          <w:szCs w:val="21"/>
        </w:rPr>
        <w:t>:</w:t>
      </w:r>
    </w:p>
    <w:p w:rsidR="00F46331" w:rsidRPr="00863158" w:rsidRDefault="00776176" w:rsidP="00863158">
      <w:pPr>
        <w:pStyle w:val="Paragrafoelenco"/>
        <w:numPr>
          <w:ilvl w:val="0"/>
          <w:numId w:val="5"/>
        </w:numPr>
        <w:shd w:val="clear" w:color="auto" w:fill="FFFFFF"/>
        <w:contextualSpacing w:val="0"/>
        <w:rPr>
          <w:rFonts w:cs="Arial"/>
          <w:color w:val="222222"/>
          <w:sz w:val="21"/>
          <w:szCs w:val="21"/>
        </w:rPr>
      </w:pPr>
      <w:r w:rsidRPr="00863158">
        <w:rPr>
          <w:rFonts w:cs="Arial"/>
          <w:color w:val="222222"/>
          <w:sz w:val="21"/>
          <w:szCs w:val="21"/>
        </w:rPr>
        <w:t>g</w:t>
      </w:r>
      <w:r w:rsidR="00F46331" w:rsidRPr="00863158">
        <w:rPr>
          <w:rFonts w:cs="Arial"/>
          <w:color w:val="222222"/>
          <w:sz w:val="21"/>
          <w:szCs w:val="21"/>
        </w:rPr>
        <w:t>li aspiranti, già presenti in graduatoria in altre fasce, avranno la possibilità di importare nella tabella di riferimento il nuovo titolo di accesso dichiarato e quelli già dichiarati</w:t>
      </w:r>
      <w:r w:rsidRPr="00863158">
        <w:rPr>
          <w:rFonts w:cs="Arial"/>
          <w:color w:val="222222"/>
          <w:sz w:val="21"/>
          <w:szCs w:val="21"/>
        </w:rPr>
        <w:t>;</w:t>
      </w:r>
    </w:p>
    <w:p w:rsidR="00F46331" w:rsidRPr="00863158" w:rsidRDefault="00776176" w:rsidP="00863158">
      <w:pPr>
        <w:pStyle w:val="Paragrafoelenco"/>
        <w:numPr>
          <w:ilvl w:val="0"/>
          <w:numId w:val="5"/>
        </w:numPr>
        <w:shd w:val="clear" w:color="auto" w:fill="FFFFFF"/>
        <w:contextualSpacing w:val="0"/>
        <w:rPr>
          <w:rFonts w:cs="Arial"/>
          <w:color w:val="222222"/>
          <w:sz w:val="21"/>
          <w:szCs w:val="21"/>
        </w:rPr>
      </w:pPr>
      <w:r w:rsidRPr="00863158">
        <w:rPr>
          <w:rFonts w:cs="Arial"/>
          <w:color w:val="222222"/>
          <w:sz w:val="21"/>
          <w:szCs w:val="21"/>
        </w:rPr>
        <w:t>i</w:t>
      </w:r>
      <w:r w:rsidR="00F46331" w:rsidRPr="00863158">
        <w:rPr>
          <w:rFonts w:cs="Arial"/>
          <w:color w:val="222222"/>
          <w:sz w:val="21"/>
          <w:szCs w:val="21"/>
        </w:rPr>
        <w:t xml:space="preserve"> titoli valutabili non possono essere stati conseguiti successivamente alla data del 31 maggio 2022.I servizi ed i titoli già dichiarati con l'aggiornamento 2022 non sono modificabili</w:t>
      </w:r>
      <w:r w:rsidRPr="00863158">
        <w:rPr>
          <w:rFonts w:cs="Arial"/>
          <w:color w:val="222222"/>
          <w:sz w:val="21"/>
          <w:szCs w:val="21"/>
        </w:rPr>
        <w:t>;</w:t>
      </w:r>
    </w:p>
    <w:p w:rsidR="00F46331" w:rsidRPr="00863158" w:rsidRDefault="00776176" w:rsidP="00863158">
      <w:pPr>
        <w:pStyle w:val="Paragrafoelenco"/>
        <w:numPr>
          <w:ilvl w:val="0"/>
          <w:numId w:val="5"/>
        </w:numPr>
        <w:shd w:val="clear" w:color="auto" w:fill="FFFFFF"/>
        <w:contextualSpacing w:val="0"/>
        <w:rPr>
          <w:rFonts w:cs="Arial"/>
          <w:color w:val="222222"/>
          <w:sz w:val="21"/>
          <w:szCs w:val="21"/>
        </w:rPr>
      </w:pPr>
      <w:r w:rsidRPr="00863158">
        <w:rPr>
          <w:rFonts w:cs="Arial"/>
          <w:color w:val="222222"/>
          <w:sz w:val="21"/>
          <w:szCs w:val="21"/>
        </w:rPr>
        <w:t>i</w:t>
      </w:r>
      <w:r w:rsidR="00F46331" w:rsidRPr="00863158">
        <w:rPr>
          <w:rFonts w:cs="Arial"/>
          <w:color w:val="222222"/>
          <w:sz w:val="21"/>
          <w:szCs w:val="21"/>
        </w:rPr>
        <w:t xml:space="preserve"> servizi saranno caricati automaticamente sulla nuova fascia per la classe di concorso di riferimento.</w:t>
      </w:r>
    </w:p>
    <w:p w:rsidR="00F46331" w:rsidRPr="00863158" w:rsidRDefault="00F46331" w:rsidP="00863158">
      <w:pPr>
        <w:shd w:val="clear" w:color="auto" w:fill="FFFFFF"/>
        <w:rPr>
          <w:rFonts w:cs="Arial"/>
          <w:color w:val="222222"/>
          <w:sz w:val="21"/>
          <w:szCs w:val="21"/>
        </w:rPr>
      </w:pPr>
      <w:r w:rsidRPr="00863158">
        <w:rPr>
          <w:rFonts w:cs="Arial"/>
          <w:color w:val="222222"/>
          <w:sz w:val="21"/>
          <w:szCs w:val="21"/>
        </w:rPr>
        <w:t>Per i nuovi inserimenti di aspiranti non presenti in graduatoria bisogna dichiarare titoli e/o servizi (svolti entro 31 maggio 2022) e scegliere gli istituti.</w:t>
      </w:r>
    </w:p>
    <w:p w:rsidR="00F46331" w:rsidRPr="00863158" w:rsidRDefault="00F46331" w:rsidP="00863158">
      <w:pPr>
        <w:shd w:val="clear" w:color="auto" w:fill="FFFFFF"/>
        <w:rPr>
          <w:rFonts w:cs="Arial"/>
          <w:color w:val="222222"/>
          <w:sz w:val="21"/>
          <w:szCs w:val="21"/>
        </w:rPr>
      </w:pPr>
      <w:r w:rsidRPr="00863158">
        <w:rPr>
          <w:rFonts w:cs="Arial"/>
          <w:color w:val="222222"/>
          <w:sz w:val="21"/>
          <w:szCs w:val="21"/>
        </w:rPr>
        <w:t>La delegazione SNALS ha chiesto, per chi ha conseguito il titolo abilitante sulla materia o sul sostegno all'estero ed è inserito in prima fascia con riserva</w:t>
      </w:r>
      <w:r w:rsidR="00776176" w:rsidRPr="00863158">
        <w:rPr>
          <w:rFonts w:cs="Arial"/>
          <w:color w:val="222222"/>
          <w:sz w:val="21"/>
          <w:szCs w:val="21"/>
        </w:rPr>
        <w:t>,</w:t>
      </w:r>
      <w:r w:rsidRPr="00863158">
        <w:rPr>
          <w:rFonts w:cs="Arial"/>
          <w:color w:val="222222"/>
          <w:sz w:val="21"/>
          <w:szCs w:val="21"/>
        </w:rPr>
        <w:t xml:space="preserve"> senza poter</w:t>
      </w:r>
      <w:r w:rsidR="00776176" w:rsidRPr="00863158">
        <w:rPr>
          <w:rFonts w:cs="Arial"/>
          <w:color w:val="222222"/>
          <w:sz w:val="21"/>
          <w:szCs w:val="21"/>
        </w:rPr>
        <w:t>e</w:t>
      </w:r>
      <w:r w:rsidRPr="00863158">
        <w:rPr>
          <w:rFonts w:cs="Arial"/>
          <w:color w:val="222222"/>
          <w:sz w:val="21"/>
          <w:szCs w:val="21"/>
        </w:rPr>
        <w:t xml:space="preserve"> stipulare contratti , la possibilità di essere inserito in coda agli elenchi aggiuntivi di 1</w:t>
      </w:r>
      <w:r w:rsidR="00AF4E10">
        <w:rPr>
          <w:rFonts w:cs="Arial"/>
          <w:color w:val="222222"/>
          <w:sz w:val="21"/>
          <w:szCs w:val="21"/>
        </w:rPr>
        <w:t xml:space="preserve"> </w:t>
      </w:r>
      <w:r w:rsidRPr="00863158">
        <w:rPr>
          <w:rFonts w:cs="Arial"/>
          <w:color w:val="222222"/>
          <w:sz w:val="21"/>
          <w:szCs w:val="21"/>
        </w:rPr>
        <w:t>fascia se, nel frattempo,</w:t>
      </w:r>
      <w:r w:rsidR="00AF4E10">
        <w:rPr>
          <w:rFonts w:cs="Arial"/>
          <w:color w:val="222222"/>
          <w:sz w:val="21"/>
          <w:szCs w:val="21"/>
        </w:rPr>
        <w:t xml:space="preserve"> </w:t>
      </w:r>
      <w:r w:rsidRPr="00863158">
        <w:rPr>
          <w:rFonts w:cs="Arial"/>
          <w:color w:val="222222"/>
          <w:sz w:val="21"/>
          <w:szCs w:val="21"/>
        </w:rPr>
        <w:t>si è abilitato in Italia tramite concorso o frequenza corso TFA sostegno.</w:t>
      </w:r>
    </w:p>
    <w:p w:rsidR="00F46331" w:rsidRPr="00863158" w:rsidRDefault="00F46331" w:rsidP="00863158">
      <w:pPr>
        <w:shd w:val="clear" w:color="auto" w:fill="FFFFFF"/>
        <w:rPr>
          <w:rFonts w:cs="Arial"/>
          <w:color w:val="222222"/>
          <w:sz w:val="21"/>
          <w:szCs w:val="21"/>
        </w:rPr>
      </w:pPr>
      <w:r w:rsidRPr="00863158">
        <w:rPr>
          <w:rFonts w:cs="Arial"/>
          <w:color w:val="222222"/>
          <w:sz w:val="21"/>
          <w:szCs w:val="21"/>
        </w:rPr>
        <w:t>Chi, invece, sta in GAE e consegue titolo di sostegno dovrà aspettare la finestra per le GAE che dovrebbe essere prevista per giugno</w:t>
      </w:r>
      <w:r w:rsidR="00776176" w:rsidRPr="00863158">
        <w:rPr>
          <w:rFonts w:cs="Arial"/>
          <w:color w:val="222222"/>
          <w:sz w:val="21"/>
          <w:szCs w:val="21"/>
        </w:rPr>
        <w:t>.</w:t>
      </w:r>
    </w:p>
    <w:p w:rsidR="00F46331" w:rsidRPr="00863158" w:rsidRDefault="00F46331" w:rsidP="00863158">
      <w:pPr>
        <w:shd w:val="clear" w:color="auto" w:fill="FFFFFF"/>
        <w:rPr>
          <w:rFonts w:cs="Arial"/>
          <w:color w:val="222222"/>
          <w:sz w:val="21"/>
          <w:szCs w:val="21"/>
        </w:rPr>
      </w:pPr>
      <w:r w:rsidRPr="00863158">
        <w:rPr>
          <w:rFonts w:cs="Arial"/>
          <w:color w:val="222222"/>
          <w:sz w:val="21"/>
          <w:szCs w:val="21"/>
        </w:rPr>
        <w:t>Ulteriori precisazioni:</w:t>
      </w:r>
    </w:p>
    <w:p w:rsidR="00F46331" w:rsidRPr="00863158" w:rsidRDefault="00F46331" w:rsidP="00ED7923">
      <w:pPr>
        <w:shd w:val="clear" w:color="auto" w:fill="FFFFFF"/>
        <w:ind w:left="397" w:hanging="397"/>
        <w:rPr>
          <w:rFonts w:cs="Arial"/>
          <w:color w:val="222222"/>
          <w:sz w:val="21"/>
          <w:szCs w:val="21"/>
        </w:rPr>
      </w:pPr>
      <w:r w:rsidRPr="00863158">
        <w:rPr>
          <w:rFonts w:cs="Arial"/>
          <w:color w:val="222222"/>
          <w:sz w:val="21"/>
          <w:szCs w:val="21"/>
        </w:rPr>
        <w:t>-</w:t>
      </w:r>
      <w:r w:rsidR="00ED7923">
        <w:rPr>
          <w:rFonts w:cs="Arial"/>
          <w:color w:val="222222"/>
          <w:sz w:val="21"/>
          <w:szCs w:val="21"/>
        </w:rPr>
        <w:tab/>
      </w:r>
      <w:r w:rsidRPr="00863158">
        <w:rPr>
          <w:rFonts w:cs="Arial"/>
          <w:color w:val="222222"/>
          <w:sz w:val="21"/>
          <w:szCs w:val="21"/>
        </w:rPr>
        <w:t>La piattaforma è uguale alla piattaforma usata per aggiornamento GPS 2022;</w:t>
      </w:r>
    </w:p>
    <w:p w:rsidR="00F46331" w:rsidRPr="00863158" w:rsidRDefault="00F46331" w:rsidP="00ED7923">
      <w:pPr>
        <w:shd w:val="clear" w:color="auto" w:fill="FFFFFF"/>
        <w:ind w:left="397" w:hanging="397"/>
        <w:rPr>
          <w:rFonts w:cs="Arial"/>
          <w:color w:val="222222"/>
          <w:sz w:val="21"/>
          <w:szCs w:val="21"/>
        </w:rPr>
      </w:pPr>
      <w:r w:rsidRPr="00863158">
        <w:rPr>
          <w:rFonts w:cs="Arial"/>
          <w:color w:val="222222"/>
          <w:sz w:val="21"/>
          <w:szCs w:val="21"/>
        </w:rPr>
        <w:t xml:space="preserve">- </w:t>
      </w:r>
      <w:r w:rsidR="00ED7923">
        <w:rPr>
          <w:rFonts w:cs="Arial"/>
          <w:color w:val="222222"/>
          <w:sz w:val="21"/>
          <w:szCs w:val="21"/>
        </w:rPr>
        <w:tab/>
      </w:r>
      <w:r w:rsidRPr="00863158">
        <w:rPr>
          <w:rFonts w:cs="Arial"/>
          <w:color w:val="222222"/>
          <w:sz w:val="21"/>
          <w:szCs w:val="21"/>
        </w:rPr>
        <w:t>Per chi era già inserito in GPS non si può cambiare la provincia;</w:t>
      </w:r>
    </w:p>
    <w:p w:rsidR="00F46331" w:rsidRPr="00863158" w:rsidRDefault="00F46331" w:rsidP="00ED7923">
      <w:pPr>
        <w:shd w:val="clear" w:color="auto" w:fill="FFFFFF"/>
        <w:ind w:left="397" w:hanging="397"/>
        <w:rPr>
          <w:rFonts w:cs="Arial"/>
          <w:color w:val="222222"/>
          <w:sz w:val="21"/>
          <w:szCs w:val="21"/>
        </w:rPr>
      </w:pPr>
      <w:r w:rsidRPr="00863158">
        <w:rPr>
          <w:rFonts w:cs="Arial"/>
          <w:color w:val="222222"/>
          <w:sz w:val="21"/>
          <w:szCs w:val="21"/>
        </w:rPr>
        <w:t xml:space="preserve">- </w:t>
      </w:r>
      <w:r w:rsidR="00ED7923">
        <w:rPr>
          <w:rFonts w:cs="Arial"/>
          <w:color w:val="222222"/>
          <w:sz w:val="21"/>
          <w:szCs w:val="21"/>
        </w:rPr>
        <w:tab/>
      </w:r>
      <w:r w:rsidRPr="00863158">
        <w:rPr>
          <w:rFonts w:cs="Arial"/>
          <w:color w:val="222222"/>
          <w:sz w:val="21"/>
          <w:szCs w:val="21"/>
        </w:rPr>
        <w:t>Per chi si inserisce ex novo vanno compilate</w:t>
      </w:r>
      <w:r w:rsidR="00AF4E10">
        <w:rPr>
          <w:rFonts w:cs="Arial"/>
          <w:color w:val="222222"/>
          <w:sz w:val="21"/>
          <w:szCs w:val="21"/>
        </w:rPr>
        <w:t xml:space="preserve"> </w:t>
      </w:r>
      <w:r w:rsidRPr="00863158">
        <w:rPr>
          <w:rFonts w:cs="Arial"/>
          <w:color w:val="222222"/>
          <w:sz w:val="21"/>
          <w:szCs w:val="21"/>
        </w:rPr>
        <w:t>tutte le sezioni compresa la scelta della provincia;</w:t>
      </w:r>
    </w:p>
    <w:p w:rsidR="00F46331" w:rsidRPr="00863158" w:rsidRDefault="00F46331" w:rsidP="00ED7923">
      <w:pPr>
        <w:shd w:val="clear" w:color="auto" w:fill="FFFFFF"/>
        <w:ind w:left="397" w:hanging="397"/>
        <w:rPr>
          <w:rFonts w:cs="Arial"/>
          <w:color w:val="222222"/>
          <w:sz w:val="21"/>
          <w:szCs w:val="21"/>
        </w:rPr>
      </w:pPr>
      <w:r w:rsidRPr="00863158">
        <w:rPr>
          <w:rFonts w:cs="Arial"/>
          <w:color w:val="222222"/>
          <w:sz w:val="21"/>
          <w:szCs w:val="21"/>
        </w:rPr>
        <w:t xml:space="preserve">- </w:t>
      </w:r>
      <w:r w:rsidR="00ED7923">
        <w:rPr>
          <w:rFonts w:cs="Arial"/>
          <w:color w:val="222222"/>
          <w:sz w:val="21"/>
          <w:szCs w:val="21"/>
        </w:rPr>
        <w:tab/>
      </w:r>
      <w:r w:rsidRPr="00863158">
        <w:rPr>
          <w:rFonts w:cs="Arial"/>
          <w:color w:val="222222"/>
          <w:sz w:val="21"/>
          <w:szCs w:val="21"/>
        </w:rPr>
        <w:t>Altrettanto per chi, già inserito in GPS,</w:t>
      </w:r>
      <w:r w:rsidR="00AF4E10">
        <w:rPr>
          <w:rFonts w:cs="Arial"/>
          <w:color w:val="222222"/>
          <w:sz w:val="21"/>
          <w:szCs w:val="21"/>
        </w:rPr>
        <w:t xml:space="preserve"> </w:t>
      </w:r>
      <w:r w:rsidRPr="00863158">
        <w:rPr>
          <w:rFonts w:cs="Arial"/>
          <w:color w:val="222222"/>
          <w:sz w:val="21"/>
          <w:szCs w:val="21"/>
        </w:rPr>
        <w:t>deve produrre tutti i titoli culturali conseguiti fino al 31 maggio 2022 perché la Tab. di riferimento è diversa;</w:t>
      </w:r>
    </w:p>
    <w:p w:rsidR="007521F8" w:rsidRPr="00863158" w:rsidRDefault="00F46331" w:rsidP="00ED7923">
      <w:pPr>
        <w:shd w:val="clear" w:color="auto" w:fill="FFFFFF"/>
        <w:ind w:left="397" w:hanging="397"/>
        <w:rPr>
          <w:rFonts w:cs="Arial"/>
          <w:color w:val="222222"/>
          <w:sz w:val="21"/>
          <w:szCs w:val="21"/>
        </w:rPr>
      </w:pPr>
      <w:r w:rsidRPr="00863158">
        <w:rPr>
          <w:rFonts w:cs="Arial"/>
          <w:color w:val="222222"/>
          <w:sz w:val="21"/>
          <w:szCs w:val="21"/>
        </w:rPr>
        <w:lastRenderedPageBreak/>
        <w:t xml:space="preserve">- </w:t>
      </w:r>
      <w:r w:rsidR="00ED7923">
        <w:rPr>
          <w:rFonts w:cs="Arial"/>
          <w:color w:val="222222"/>
          <w:sz w:val="21"/>
          <w:szCs w:val="21"/>
        </w:rPr>
        <w:tab/>
      </w:r>
      <w:r w:rsidRPr="00863158">
        <w:rPr>
          <w:rFonts w:cs="Arial"/>
          <w:color w:val="222222"/>
          <w:sz w:val="21"/>
          <w:szCs w:val="21"/>
        </w:rPr>
        <w:t>La sezione “altre dichiarazioni” è obbligatoria.</w:t>
      </w:r>
    </w:p>
    <w:p w:rsidR="00980A51" w:rsidRPr="00863158" w:rsidRDefault="00980A51" w:rsidP="00863158">
      <w:pPr>
        <w:tabs>
          <w:tab w:val="left" w:pos="2835"/>
        </w:tabs>
        <w:rPr>
          <w:iCs/>
          <w:color w:val="000000"/>
          <w:sz w:val="21"/>
          <w:szCs w:val="21"/>
        </w:rPr>
      </w:pPr>
    </w:p>
    <w:p w:rsidR="00863158" w:rsidRPr="00863158" w:rsidRDefault="00863158" w:rsidP="00863158">
      <w:pPr>
        <w:tabs>
          <w:tab w:val="left" w:pos="2835"/>
        </w:tabs>
        <w:rPr>
          <w:iCs/>
          <w:color w:val="000000"/>
          <w:sz w:val="21"/>
          <w:szCs w:val="21"/>
        </w:rPr>
      </w:pPr>
    </w:p>
    <w:p w:rsidR="00863158" w:rsidRDefault="00863158" w:rsidP="008238B7">
      <w:pPr>
        <w:tabs>
          <w:tab w:val="left" w:pos="2835"/>
        </w:tabs>
        <w:rPr>
          <w:iCs/>
          <w:color w:val="000000"/>
          <w:sz w:val="21"/>
          <w:szCs w:val="21"/>
        </w:rPr>
      </w:pPr>
    </w:p>
    <w:p w:rsidR="00DA339D" w:rsidRDefault="003A4EF2" w:rsidP="008238B7">
      <w:pPr>
        <w:tabs>
          <w:tab w:val="left" w:pos="2835"/>
        </w:tabs>
        <w:rPr>
          <w:iCs/>
          <w:color w:val="000000"/>
          <w:sz w:val="21"/>
          <w:szCs w:val="21"/>
        </w:rPr>
      </w:pPr>
      <w:r>
        <w:rPr>
          <w:iCs/>
          <w:color w:val="000000"/>
          <w:sz w:val="21"/>
          <w:szCs w:val="21"/>
        </w:rPr>
        <w:t>*</w:t>
      </w:r>
      <w:r>
        <w:rPr>
          <w:iCs/>
          <w:color w:val="000000"/>
          <w:sz w:val="21"/>
          <w:szCs w:val="21"/>
        </w:rPr>
        <w:tab/>
      </w:r>
      <w:r w:rsidR="007B7ABE" w:rsidRPr="007B7ABE">
        <w:rPr>
          <w:iCs/>
          <w:color w:val="000000"/>
          <w:sz w:val="21"/>
          <w:szCs w:val="21"/>
          <w:u w:val="single"/>
        </w:rPr>
        <w:t>CIRCOLARE 24 MESI ATA 2023/2024</w:t>
      </w:r>
    </w:p>
    <w:p w:rsidR="003A4EF2" w:rsidRDefault="005D2536" w:rsidP="005D2536">
      <w:pPr>
        <w:tabs>
          <w:tab w:val="left" w:pos="2835"/>
        </w:tabs>
        <w:rPr>
          <w:iCs/>
          <w:color w:val="000000"/>
          <w:sz w:val="21"/>
          <w:szCs w:val="21"/>
        </w:rPr>
      </w:pPr>
      <w:r>
        <w:rPr>
          <w:iCs/>
          <w:color w:val="000000"/>
          <w:sz w:val="21"/>
          <w:szCs w:val="21"/>
        </w:rPr>
        <w:t>E’ stata pubblicata la nota DGPER prot. 26352</w:t>
      </w:r>
      <w:r w:rsidR="00AF4E10">
        <w:rPr>
          <w:iCs/>
          <w:color w:val="000000"/>
          <w:sz w:val="21"/>
          <w:szCs w:val="21"/>
        </w:rPr>
        <w:t xml:space="preserve"> </w:t>
      </w:r>
      <w:r>
        <w:rPr>
          <w:iCs/>
          <w:color w:val="000000"/>
          <w:sz w:val="21"/>
          <w:szCs w:val="21"/>
        </w:rPr>
        <w:t>del 5 aprile 2023 avente per oggetto: “</w:t>
      </w:r>
      <w:r w:rsidRPr="005D2536">
        <w:rPr>
          <w:i/>
          <w:iCs/>
          <w:color w:val="000000"/>
          <w:sz w:val="21"/>
          <w:szCs w:val="21"/>
        </w:rPr>
        <w:t>Indizione, ai sensi dell’articolo 554 del decreto legislativo n. 297/1994 e dell’ordinanza ministeriale 23 febbraio 2009, n. 21, dei concorsi per titoli per l’aggiornamento e l’integrazione delle graduatorie per l’accesso ai ruoli provinciali dei profili professionali dell’area A e B del personale ATA – Indizione dei concorsi nell’anno scolastico 2022/2023 – Graduatorie a.s. 2023/2024</w:t>
      </w:r>
      <w:r>
        <w:rPr>
          <w:iCs/>
          <w:color w:val="000000"/>
          <w:sz w:val="21"/>
          <w:szCs w:val="21"/>
        </w:rPr>
        <w:t>”</w:t>
      </w:r>
      <w:r w:rsidRPr="005D2536">
        <w:rPr>
          <w:iCs/>
          <w:color w:val="000000"/>
          <w:sz w:val="21"/>
          <w:szCs w:val="21"/>
        </w:rPr>
        <w:t>.</w:t>
      </w:r>
    </w:p>
    <w:p w:rsidR="005D2536" w:rsidRDefault="005D2536" w:rsidP="005D2536">
      <w:pPr>
        <w:tabs>
          <w:tab w:val="left" w:pos="2835"/>
        </w:tabs>
        <w:rPr>
          <w:iCs/>
          <w:color w:val="000000"/>
          <w:sz w:val="21"/>
          <w:szCs w:val="21"/>
        </w:rPr>
      </w:pPr>
      <w:r w:rsidRPr="005D2536">
        <w:rPr>
          <w:iCs/>
          <w:color w:val="000000"/>
          <w:sz w:val="21"/>
          <w:szCs w:val="21"/>
        </w:rPr>
        <w:t>I concorsi sono indetti</w:t>
      </w:r>
      <w:r>
        <w:rPr>
          <w:iCs/>
          <w:color w:val="000000"/>
          <w:sz w:val="21"/>
          <w:szCs w:val="21"/>
        </w:rPr>
        <w:t xml:space="preserve"> </w:t>
      </w:r>
      <w:r w:rsidRPr="005D2536">
        <w:rPr>
          <w:iCs/>
          <w:color w:val="000000"/>
          <w:sz w:val="21"/>
          <w:szCs w:val="21"/>
        </w:rPr>
        <w:t>nel</w:t>
      </w:r>
      <w:r>
        <w:rPr>
          <w:iCs/>
          <w:color w:val="000000"/>
          <w:sz w:val="21"/>
          <w:szCs w:val="21"/>
        </w:rPr>
        <w:t xml:space="preserve"> </w:t>
      </w:r>
      <w:r w:rsidRPr="005D2536">
        <w:rPr>
          <w:iCs/>
          <w:color w:val="000000"/>
          <w:sz w:val="21"/>
          <w:szCs w:val="21"/>
        </w:rPr>
        <w:t>corrente anno scolastico e sono finalizzati alla costituzione delle graduatorie provinciali permanenti utili</w:t>
      </w:r>
      <w:r>
        <w:rPr>
          <w:iCs/>
          <w:color w:val="000000"/>
          <w:sz w:val="21"/>
          <w:szCs w:val="21"/>
        </w:rPr>
        <w:t xml:space="preserve"> </w:t>
      </w:r>
      <w:r w:rsidRPr="005D2536">
        <w:rPr>
          <w:iCs/>
          <w:color w:val="000000"/>
          <w:sz w:val="21"/>
          <w:szCs w:val="21"/>
        </w:rPr>
        <w:t>per l’a.s. 2023/2024.</w:t>
      </w:r>
    </w:p>
    <w:p w:rsidR="001F3BF4" w:rsidRDefault="005D2536" w:rsidP="00C674AE">
      <w:pPr>
        <w:tabs>
          <w:tab w:val="left" w:pos="2835"/>
        </w:tabs>
        <w:rPr>
          <w:iCs/>
          <w:color w:val="000000"/>
          <w:sz w:val="21"/>
          <w:szCs w:val="21"/>
        </w:rPr>
      </w:pPr>
      <w:r>
        <w:rPr>
          <w:iCs/>
          <w:color w:val="000000"/>
          <w:sz w:val="21"/>
          <w:szCs w:val="21"/>
        </w:rPr>
        <w:t xml:space="preserve">Le </w:t>
      </w:r>
      <w:r w:rsidRPr="005D2536">
        <w:rPr>
          <w:iCs/>
          <w:color w:val="000000"/>
          <w:sz w:val="21"/>
          <w:szCs w:val="21"/>
        </w:rPr>
        <w:t xml:space="preserve">Direzioni </w:t>
      </w:r>
      <w:r w:rsidR="00C674AE">
        <w:rPr>
          <w:iCs/>
          <w:color w:val="000000"/>
          <w:sz w:val="21"/>
          <w:szCs w:val="21"/>
        </w:rPr>
        <w:t>degli USR dovranno pubblicare</w:t>
      </w:r>
      <w:r w:rsidR="007B7ABE">
        <w:rPr>
          <w:iCs/>
          <w:color w:val="000000"/>
          <w:sz w:val="21"/>
          <w:szCs w:val="21"/>
        </w:rPr>
        <w:t>,</w:t>
      </w:r>
      <w:r w:rsidR="00C674AE">
        <w:rPr>
          <w:iCs/>
          <w:color w:val="000000"/>
          <w:sz w:val="21"/>
          <w:szCs w:val="21"/>
        </w:rPr>
        <w:t xml:space="preserve"> </w:t>
      </w:r>
      <w:r w:rsidR="00C674AE" w:rsidRPr="005D2536">
        <w:rPr>
          <w:iCs/>
          <w:color w:val="000000"/>
          <w:sz w:val="21"/>
          <w:szCs w:val="21"/>
        </w:rPr>
        <w:t>sul Portale InPa</w:t>
      </w:r>
      <w:r w:rsidR="00C674AE">
        <w:rPr>
          <w:iCs/>
          <w:color w:val="000000"/>
          <w:sz w:val="21"/>
          <w:szCs w:val="21"/>
        </w:rPr>
        <w:t xml:space="preserve"> </w:t>
      </w:r>
      <w:r w:rsidR="00C674AE" w:rsidRPr="005D2536">
        <w:rPr>
          <w:iCs/>
          <w:color w:val="000000"/>
          <w:sz w:val="21"/>
          <w:szCs w:val="21"/>
        </w:rPr>
        <w:t>(</w:t>
      </w:r>
      <w:hyperlink r:id="rId8" w:history="1">
        <w:r w:rsidR="00C674AE" w:rsidRPr="009F5879">
          <w:rPr>
            <w:rStyle w:val="Collegamentoipertestuale"/>
            <w:iCs/>
            <w:sz w:val="21"/>
            <w:szCs w:val="21"/>
          </w:rPr>
          <w:t>www.inpa.gov.it</w:t>
        </w:r>
      </w:hyperlink>
      <w:r w:rsidR="00C674AE">
        <w:rPr>
          <w:iCs/>
          <w:color w:val="000000"/>
          <w:sz w:val="21"/>
          <w:szCs w:val="21"/>
        </w:rPr>
        <w:t>) e sui propri siti, gli</w:t>
      </w:r>
      <w:r w:rsidRPr="005D2536">
        <w:rPr>
          <w:iCs/>
          <w:color w:val="000000"/>
          <w:sz w:val="21"/>
          <w:szCs w:val="21"/>
        </w:rPr>
        <w:t xml:space="preserve"> appositi bandi </w:t>
      </w:r>
      <w:r w:rsidR="00C674AE" w:rsidRPr="00C674AE">
        <w:rPr>
          <w:iCs/>
          <w:color w:val="000000"/>
          <w:sz w:val="21"/>
          <w:szCs w:val="21"/>
        </w:rPr>
        <w:t>di indizione dei concorsi</w:t>
      </w:r>
      <w:r w:rsidR="00C674AE">
        <w:rPr>
          <w:iCs/>
          <w:color w:val="000000"/>
          <w:sz w:val="21"/>
          <w:szCs w:val="21"/>
        </w:rPr>
        <w:t xml:space="preserve">, </w:t>
      </w:r>
      <w:r w:rsidR="00C674AE" w:rsidRPr="00C674AE">
        <w:rPr>
          <w:iCs/>
          <w:color w:val="000000"/>
          <w:sz w:val="21"/>
          <w:szCs w:val="21"/>
        </w:rPr>
        <w:t>entro e non oltre la data del 26 aprile 2023.</w:t>
      </w:r>
    </w:p>
    <w:p w:rsidR="007B7ABE" w:rsidRDefault="00C674AE" w:rsidP="007B7ABE">
      <w:pPr>
        <w:tabs>
          <w:tab w:val="left" w:pos="2835"/>
        </w:tabs>
        <w:rPr>
          <w:iCs/>
          <w:color w:val="000000"/>
          <w:sz w:val="21"/>
          <w:szCs w:val="21"/>
        </w:rPr>
      </w:pPr>
      <w:r>
        <w:rPr>
          <w:iCs/>
          <w:color w:val="000000"/>
          <w:sz w:val="21"/>
          <w:szCs w:val="21"/>
        </w:rPr>
        <w:t xml:space="preserve">Le </w:t>
      </w:r>
      <w:r w:rsidRPr="00C674AE">
        <w:rPr>
          <w:iCs/>
          <w:color w:val="000000"/>
          <w:sz w:val="21"/>
          <w:szCs w:val="21"/>
        </w:rPr>
        <w:t xml:space="preserve">domande di ammissione </w:t>
      </w:r>
      <w:r>
        <w:rPr>
          <w:iCs/>
          <w:color w:val="000000"/>
          <w:sz w:val="21"/>
          <w:szCs w:val="21"/>
        </w:rPr>
        <w:t>dov</w:t>
      </w:r>
      <w:r w:rsidRPr="00C674AE">
        <w:rPr>
          <w:iCs/>
          <w:color w:val="000000"/>
          <w:sz w:val="21"/>
          <w:szCs w:val="21"/>
        </w:rPr>
        <w:t>ranno essere</w:t>
      </w:r>
      <w:r>
        <w:rPr>
          <w:iCs/>
          <w:color w:val="000000"/>
          <w:sz w:val="21"/>
          <w:szCs w:val="21"/>
        </w:rPr>
        <w:t xml:space="preserve"> </w:t>
      </w:r>
      <w:r w:rsidRPr="00C674AE">
        <w:rPr>
          <w:iCs/>
          <w:color w:val="000000"/>
          <w:sz w:val="21"/>
          <w:szCs w:val="21"/>
        </w:rPr>
        <w:t xml:space="preserve">presentate, a pena di esclusione, </w:t>
      </w:r>
      <w:r w:rsidRPr="00C674AE">
        <w:rPr>
          <w:i/>
          <w:iCs/>
          <w:color w:val="000000"/>
          <w:sz w:val="21"/>
          <w:szCs w:val="21"/>
        </w:rPr>
        <w:t>unicamente in modalità telematica</w:t>
      </w:r>
      <w:r>
        <w:rPr>
          <w:iCs/>
          <w:color w:val="000000"/>
          <w:sz w:val="21"/>
          <w:szCs w:val="21"/>
        </w:rPr>
        <w:t>,</w:t>
      </w:r>
      <w:r w:rsidRPr="00C674AE">
        <w:rPr>
          <w:iCs/>
          <w:color w:val="000000"/>
          <w:sz w:val="21"/>
          <w:szCs w:val="21"/>
        </w:rPr>
        <w:t xml:space="preserve"> attraverso il servizio “Istanze</w:t>
      </w:r>
      <w:r>
        <w:rPr>
          <w:iCs/>
          <w:color w:val="000000"/>
          <w:sz w:val="21"/>
          <w:szCs w:val="21"/>
        </w:rPr>
        <w:t xml:space="preserve"> </w:t>
      </w:r>
      <w:r w:rsidRPr="00C674AE">
        <w:rPr>
          <w:iCs/>
          <w:color w:val="000000"/>
          <w:sz w:val="21"/>
          <w:szCs w:val="21"/>
        </w:rPr>
        <w:t>on Line (POLIS)”</w:t>
      </w:r>
      <w:r>
        <w:rPr>
          <w:iCs/>
          <w:color w:val="000000"/>
          <w:sz w:val="21"/>
          <w:szCs w:val="21"/>
        </w:rPr>
        <w:t xml:space="preserve">, raggiungibile </w:t>
      </w:r>
      <w:r w:rsidRPr="00C674AE">
        <w:rPr>
          <w:iCs/>
          <w:color w:val="000000"/>
          <w:sz w:val="21"/>
          <w:szCs w:val="21"/>
        </w:rPr>
        <w:t>mediante il suddetto Portale</w:t>
      </w:r>
      <w:r>
        <w:rPr>
          <w:iCs/>
          <w:color w:val="000000"/>
          <w:sz w:val="21"/>
          <w:szCs w:val="21"/>
        </w:rPr>
        <w:t xml:space="preserve"> </w:t>
      </w:r>
      <w:r w:rsidRPr="00C674AE">
        <w:rPr>
          <w:iCs/>
          <w:color w:val="000000"/>
          <w:sz w:val="21"/>
          <w:szCs w:val="21"/>
        </w:rPr>
        <w:t>InPa</w:t>
      </w:r>
      <w:r>
        <w:rPr>
          <w:iCs/>
          <w:color w:val="000000"/>
          <w:sz w:val="21"/>
          <w:szCs w:val="21"/>
        </w:rPr>
        <w:t>, e su</w:t>
      </w:r>
      <w:r w:rsidRPr="00C674AE">
        <w:rPr>
          <w:iCs/>
          <w:color w:val="000000"/>
          <w:sz w:val="21"/>
          <w:szCs w:val="21"/>
        </w:rPr>
        <w:t>l</w:t>
      </w:r>
      <w:r>
        <w:rPr>
          <w:iCs/>
          <w:color w:val="000000"/>
          <w:sz w:val="21"/>
          <w:szCs w:val="21"/>
        </w:rPr>
        <w:t xml:space="preserve"> </w:t>
      </w:r>
      <w:r w:rsidRPr="00C674AE">
        <w:rPr>
          <w:iCs/>
          <w:color w:val="000000"/>
          <w:sz w:val="21"/>
          <w:szCs w:val="21"/>
        </w:rPr>
        <w:t>sito</w:t>
      </w:r>
      <w:r w:rsidR="007B7ABE">
        <w:rPr>
          <w:iCs/>
          <w:color w:val="000000"/>
          <w:sz w:val="21"/>
          <w:szCs w:val="21"/>
        </w:rPr>
        <w:t xml:space="preserve"> MIM</w:t>
      </w:r>
      <w:r w:rsidRPr="00C674AE">
        <w:rPr>
          <w:iCs/>
          <w:color w:val="000000"/>
          <w:sz w:val="21"/>
          <w:szCs w:val="21"/>
        </w:rPr>
        <w:t xml:space="preserve"> </w:t>
      </w:r>
      <w:r>
        <w:rPr>
          <w:iCs/>
          <w:color w:val="000000"/>
          <w:sz w:val="21"/>
          <w:szCs w:val="21"/>
        </w:rPr>
        <w:t>(</w:t>
      </w:r>
      <w:hyperlink r:id="rId9" w:history="1">
        <w:r w:rsidRPr="009F5879">
          <w:rPr>
            <w:rStyle w:val="Collegamentoipertestuale"/>
            <w:iCs/>
            <w:sz w:val="21"/>
            <w:szCs w:val="21"/>
          </w:rPr>
          <w:t>www.miur.gov.it</w:t>
        </w:r>
      </w:hyperlink>
      <w:r>
        <w:rPr>
          <w:iCs/>
          <w:color w:val="000000"/>
          <w:sz w:val="21"/>
          <w:szCs w:val="21"/>
        </w:rPr>
        <w:t xml:space="preserve">), </w:t>
      </w:r>
      <w:r w:rsidR="007B7ABE" w:rsidRPr="007B7ABE">
        <w:rPr>
          <w:b/>
          <w:iCs/>
          <w:color w:val="000000"/>
          <w:sz w:val="21"/>
          <w:szCs w:val="21"/>
        </w:rPr>
        <w:t>dalle ore 9,00 del 27 aprile 2023 fino alle ore 23,59 del 18 maggio 2023</w:t>
      </w:r>
      <w:r w:rsidR="007B7ABE" w:rsidRPr="00C674AE">
        <w:rPr>
          <w:iCs/>
          <w:color w:val="000000"/>
          <w:sz w:val="21"/>
          <w:szCs w:val="21"/>
        </w:rPr>
        <w:t>.</w:t>
      </w:r>
    </w:p>
    <w:p w:rsidR="007B7ABE" w:rsidRDefault="007B7ABE" w:rsidP="007B7ABE">
      <w:pPr>
        <w:tabs>
          <w:tab w:val="left" w:pos="2835"/>
        </w:tabs>
        <w:rPr>
          <w:iCs/>
          <w:color w:val="000000"/>
          <w:sz w:val="21"/>
          <w:szCs w:val="21"/>
        </w:rPr>
      </w:pPr>
      <w:r>
        <w:rPr>
          <w:iCs/>
          <w:color w:val="000000"/>
          <w:sz w:val="21"/>
          <w:szCs w:val="21"/>
        </w:rPr>
        <w:t>Inseriamo in area riservata la nota in oggetto.</w:t>
      </w:r>
    </w:p>
    <w:p w:rsidR="005D2536" w:rsidRDefault="005D2536" w:rsidP="0097125C">
      <w:pPr>
        <w:tabs>
          <w:tab w:val="left" w:pos="2835"/>
        </w:tabs>
        <w:rPr>
          <w:iCs/>
          <w:color w:val="000000"/>
          <w:sz w:val="21"/>
          <w:szCs w:val="21"/>
        </w:rPr>
      </w:pPr>
    </w:p>
    <w:p w:rsidR="005D2536" w:rsidRPr="008238B7" w:rsidRDefault="005D2536" w:rsidP="0097125C">
      <w:pPr>
        <w:tabs>
          <w:tab w:val="left" w:pos="2835"/>
        </w:tabs>
        <w:rPr>
          <w:iCs/>
          <w:color w:val="000000"/>
          <w:sz w:val="21"/>
          <w:szCs w:val="21"/>
        </w:rPr>
      </w:pPr>
    </w:p>
    <w:p w:rsidR="0027476B" w:rsidRPr="008238B7" w:rsidRDefault="00196190" w:rsidP="0027476B">
      <w:pPr>
        <w:tabs>
          <w:tab w:val="left" w:pos="2835"/>
        </w:tabs>
        <w:ind w:left="4253"/>
        <w:jc w:val="center"/>
        <w:rPr>
          <w:iCs/>
          <w:color w:val="000000"/>
          <w:sz w:val="21"/>
          <w:szCs w:val="21"/>
        </w:rPr>
      </w:pPr>
      <w:r>
        <w:rPr>
          <w:iCs/>
          <w:color w:val="000000"/>
          <w:sz w:val="21"/>
          <w:szCs w:val="21"/>
        </w:rPr>
        <w:t xml:space="preserve"> </w:t>
      </w:r>
    </w:p>
    <w:sectPr w:rsidR="0027476B" w:rsidRPr="008238B7" w:rsidSect="008238B7">
      <w:footerReference w:type="default" r:id="rId10"/>
      <w:type w:val="continuous"/>
      <w:pgSz w:w="11906" w:h="16838" w:code="9"/>
      <w:pgMar w:top="1134" w:right="1134" w:bottom="1134" w:left="1134"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1A7" w:rsidRDefault="001E41A7">
      <w:r>
        <w:separator/>
      </w:r>
    </w:p>
  </w:endnote>
  <w:endnote w:type="continuationSeparator" w:id="0">
    <w:p w:rsidR="001E41A7" w:rsidRDefault="001E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945391"/>
      <w:docPartObj>
        <w:docPartGallery w:val="Page Numbers (Bottom of Page)"/>
        <w:docPartUnique/>
      </w:docPartObj>
    </w:sdtPr>
    <w:sdtEndPr/>
    <w:sdtContent>
      <w:p w:rsidR="001630C3" w:rsidRDefault="001630C3">
        <w:pPr>
          <w:pStyle w:val="Pidipagina"/>
          <w:jc w:val="right"/>
        </w:pPr>
        <w:r>
          <w:fldChar w:fldCharType="begin"/>
        </w:r>
        <w:r>
          <w:instrText>PAGE   \* MERGEFORMAT</w:instrText>
        </w:r>
        <w:r>
          <w:fldChar w:fldCharType="separate"/>
        </w:r>
        <w:r w:rsidR="00FE7748">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1A7" w:rsidRDefault="001E41A7">
      <w:r>
        <w:separator/>
      </w:r>
    </w:p>
  </w:footnote>
  <w:footnote w:type="continuationSeparator" w:id="0">
    <w:p w:rsidR="001E41A7" w:rsidRDefault="001E41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45B"/>
    <w:multiLevelType w:val="hybridMultilevel"/>
    <w:tmpl w:val="3F5AD378"/>
    <w:lvl w:ilvl="0" w:tplc="8FC2AAB4">
      <w:start w:val="3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4C0BFD"/>
    <w:multiLevelType w:val="hybridMultilevel"/>
    <w:tmpl w:val="FAFE6F7E"/>
    <w:lvl w:ilvl="0" w:tplc="61DEE9FC">
      <w:start w:val="1"/>
      <w:numFmt w:val="decimal"/>
      <w:lvlText w:val="%1)"/>
      <w:lvlJc w:val="left"/>
      <w:pPr>
        <w:ind w:left="720" w:hanging="360"/>
      </w:pPr>
      <w:rPr>
        <w:rFonts w:cs="Tahom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957537"/>
    <w:multiLevelType w:val="hybridMultilevel"/>
    <w:tmpl w:val="3112FD0C"/>
    <w:lvl w:ilvl="0" w:tplc="390038CC">
      <w:start w:val="1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15677A"/>
    <w:multiLevelType w:val="hybridMultilevel"/>
    <w:tmpl w:val="6E123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B3298D"/>
    <w:multiLevelType w:val="hybridMultilevel"/>
    <w:tmpl w:val="81DE8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BA0C13"/>
    <w:multiLevelType w:val="hybridMultilevel"/>
    <w:tmpl w:val="5A54BA9A"/>
    <w:lvl w:ilvl="0" w:tplc="390038CC">
      <w:start w:val="1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A41916"/>
    <w:multiLevelType w:val="hybridMultilevel"/>
    <w:tmpl w:val="6358B688"/>
    <w:lvl w:ilvl="0" w:tplc="207E0C4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E5"/>
    <w:rsid w:val="0000635D"/>
    <w:rsid w:val="000074F3"/>
    <w:rsid w:val="00014C59"/>
    <w:rsid w:val="0001527F"/>
    <w:rsid w:val="00020233"/>
    <w:rsid w:val="0002089E"/>
    <w:rsid w:val="000228A8"/>
    <w:rsid w:val="00025457"/>
    <w:rsid w:val="00027963"/>
    <w:rsid w:val="00030CAD"/>
    <w:rsid w:val="00031186"/>
    <w:rsid w:val="00034811"/>
    <w:rsid w:val="0003707C"/>
    <w:rsid w:val="00040807"/>
    <w:rsid w:val="0004500D"/>
    <w:rsid w:val="00056007"/>
    <w:rsid w:val="0005765E"/>
    <w:rsid w:val="00060AEF"/>
    <w:rsid w:val="0006418F"/>
    <w:rsid w:val="0006501E"/>
    <w:rsid w:val="00072383"/>
    <w:rsid w:val="00072F20"/>
    <w:rsid w:val="00076555"/>
    <w:rsid w:val="00080E48"/>
    <w:rsid w:val="000813FE"/>
    <w:rsid w:val="00091746"/>
    <w:rsid w:val="00091F04"/>
    <w:rsid w:val="000920A1"/>
    <w:rsid w:val="00092C9C"/>
    <w:rsid w:val="00093224"/>
    <w:rsid w:val="00094B0B"/>
    <w:rsid w:val="000961F7"/>
    <w:rsid w:val="000A2DE9"/>
    <w:rsid w:val="000A3CE0"/>
    <w:rsid w:val="000A478F"/>
    <w:rsid w:val="000A522E"/>
    <w:rsid w:val="000A7F45"/>
    <w:rsid w:val="000B242A"/>
    <w:rsid w:val="000C060A"/>
    <w:rsid w:val="000C5C75"/>
    <w:rsid w:val="000C6450"/>
    <w:rsid w:val="000D078C"/>
    <w:rsid w:val="000D20FF"/>
    <w:rsid w:val="000D4FA9"/>
    <w:rsid w:val="000D63B9"/>
    <w:rsid w:val="000E52FE"/>
    <w:rsid w:val="000E58CC"/>
    <w:rsid w:val="000E63E0"/>
    <w:rsid w:val="000E77BB"/>
    <w:rsid w:val="000E7A49"/>
    <w:rsid w:val="000F43EB"/>
    <w:rsid w:val="000F60DD"/>
    <w:rsid w:val="000F68DB"/>
    <w:rsid w:val="000F7C1E"/>
    <w:rsid w:val="001016F7"/>
    <w:rsid w:val="0010597C"/>
    <w:rsid w:val="00107C03"/>
    <w:rsid w:val="00117B8A"/>
    <w:rsid w:val="00121301"/>
    <w:rsid w:val="001250C1"/>
    <w:rsid w:val="00125D9E"/>
    <w:rsid w:val="0013290B"/>
    <w:rsid w:val="00136D58"/>
    <w:rsid w:val="00141E26"/>
    <w:rsid w:val="00142A67"/>
    <w:rsid w:val="00144749"/>
    <w:rsid w:val="00145D37"/>
    <w:rsid w:val="001529CE"/>
    <w:rsid w:val="0015356C"/>
    <w:rsid w:val="00157320"/>
    <w:rsid w:val="00157C74"/>
    <w:rsid w:val="00161978"/>
    <w:rsid w:val="0016261B"/>
    <w:rsid w:val="001630C3"/>
    <w:rsid w:val="00163B7E"/>
    <w:rsid w:val="00165A95"/>
    <w:rsid w:val="00166E55"/>
    <w:rsid w:val="001673F1"/>
    <w:rsid w:val="00167D9A"/>
    <w:rsid w:val="00171616"/>
    <w:rsid w:val="001763DD"/>
    <w:rsid w:val="00176E83"/>
    <w:rsid w:val="00177853"/>
    <w:rsid w:val="0018093C"/>
    <w:rsid w:val="00181154"/>
    <w:rsid w:val="00186328"/>
    <w:rsid w:val="00186811"/>
    <w:rsid w:val="001903DE"/>
    <w:rsid w:val="00191658"/>
    <w:rsid w:val="00193C70"/>
    <w:rsid w:val="001954BE"/>
    <w:rsid w:val="00196190"/>
    <w:rsid w:val="0019668F"/>
    <w:rsid w:val="001A093D"/>
    <w:rsid w:val="001A22C1"/>
    <w:rsid w:val="001A3681"/>
    <w:rsid w:val="001A71B8"/>
    <w:rsid w:val="001B2F84"/>
    <w:rsid w:val="001B6AF9"/>
    <w:rsid w:val="001C410E"/>
    <w:rsid w:val="001C635B"/>
    <w:rsid w:val="001D0A83"/>
    <w:rsid w:val="001D1519"/>
    <w:rsid w:val="001D4A67"/>
    <w:rsid w:val="001D6CCE"/>
    <w:rsid w:val="001D732D"/>
    <w:rsid w:val="001E0070"/>
    <w:rsid w:val="001E0378"/>
    <w:rsid w:val="001E2688"/>
    <w:rsid w:val="001E41A7"/>
    <w:rsid w:val="001F13EB"/>
    <w:rsid w:val="001F3BF4"/>
    <w:rsid w:val="001F588B"/>
    <w:rsid w:val="001F6481"/>
    <w:rsid w:val="00200CD8"/>
    <w:rsid w:val="00201954"/>
    <w:rsid w:val="00211818"/>
    <w:rsid w:val="00214744"/>
    <w:rsid w:val="002212A5"/>
    <w:rsid w:val="0022137D"/>
    <w:rsid w:val="002324FB"/>
    <w:rsid w:val="00232CAA"/>
    <w:rsid w:val="002343BB"/>
    <w:rsid w:val="00241BBF"/>
    <w:rsid w:val="00250733"/>
    <w:rsid w:val="00253FD3"/>
    <w:rsid w:val="00255EED"/>
    <w:rsid w:val="00260F21"/>
    <w:rsid w:val="00267553"/>
    <w:rsid w:val="00271E48"/>
    <w:rsid w:val="002729F8"/>
    <w:rsid w:val="0027476B"/>
    <w:rsid w:val="00275EDC"/>
    <w:rsid w:val="002852B6"/>
    <w:rsid w:val="00285E71"/>
    <w:rsid w:val="0028672F"/>
    <w:rsid w:val="00290A1C"/>
    <w:rsid w:val="00297541"/>
    <w:rsid w:val="0029759C"/>
    <w:rsid w:val="002A4FF3"/>
    <w:rsid w:val="002A7B68"/>
    <w:rsid w:val="002B3D44"/>
    <w:rsid w:val="002C4F57"/>
    <w:rsid w:val="002C61A4"/>
    <w:rsid w:val="002D0D27"/>
    <w:rsid w:val="002D3BD9"/>
    <w:rsid w:val="002D5E6F"/>
    <w:rsid w:val="002D68E3"/>
    <w:rsid w:val="002E6791"/>
    <w:rsid w:val="002F2C37"/>
    <w:rsid w:val="0030033E"/>
    <w:rsid w:val="00300C5F"/>
    <w:rsid w:val="0030116C"/>
    <w:rsid w:val="00305D64"/>
    <w:rsid w:val="00307AD9"/>
    <w:rsid w:val="0031020C"/>
    <w:rsid w:val="003124DE"/>
    <w:rsid w:val="00312745"/>
    <w:rsid w:val="00321C03"/>
    <w:rsid w:val="0032663D"/>
    <w:rsid w:val="00330280"/>
    <w:rsid w:val="0033044B"/>
    <w:rsid w:val="00335431"/>
    <w:rsid w:val="00337127"/>
    <w:rsid w:val="00337743"/>
    <w:rsid w:val="00346BA2"/>
    <w:rsid w:val="003505A4"/>
    <w:rsid w:val="00351C14"/>
    <w:rsid w:val="003530AF"/>
    <w:rsid w:val="0035421A"/>
    <w:rsid w:val="00356F77"/>
    <w:rsid w:val="0035745A"/>
    <w:rsid w:val="00360B3D"/>
    <w:rsid w:val="00363AB9"/>
    <w:rsid w:val="0036406E"/>
    <w:rsid w:val="0036415E"/>
    <w:rsid w:val="00366EDE"/>
    <w:rsid w:val="003712B8"/>
    <w:rsid w:val="00371F83"/>
    <w:rsid w:val="003741BD"/>
    <w:rsid w:val="003745F0"/>
    <w:rsid w:val="00374A28"/>
    <w:rsid w:val="00376A89"/>
    <w:rsid w:val="00376FFB"/>
    <w:rsid w:val="0038305E"/>
    <w:rsid w:val="00390406"/>
    <w:rsid w:val="00391229"/>
    <w:rsid w:val="003A3AE5"/>
    <w:rsid w:val="003A4EF2"/>
    <w:rsid w:val="003B111D"/>
    <w:rsid w:val="003B67EB"/>
    <w:rsid w:val="003B7913"/>
    <w:rsid w:val="003C3AA3"/>
    <w:rsid w:val="003C4D89"/>
    <w:rsid w:val="003C7F9B"/>
    <w:rsid w:val="003D2454"/>
    <w:rsid w:val="003E1E5C"/>
    <w:rsid w:val="003E33E3"/>
    <w:rsid w:val="003E623E"/>
    <w:rsid w:val="003F0DE1"/>
    <w:rsid w:val="003F27B0"/>
    <w:rsid w:val="003F27DA"/>
    <w:rsid w:val="004029CC"/>
    <w:rsid w:val="004057A3"/>
    <w:rsid w:val="0041025F"/>
    <w:rsid w:val="004119AD"/>
    <w:rsid w:val="00412A31"/>
    <w:rsid w:val="0041562D"/>
    <w:rsid w:val="0041697F"/>
    <w:rsid w:val="00416DAA"/>
    <w:rsid w:val="00420C13"/>
    <w:rsid w:val="004220D2"/>
    <w:rsid w:val="00422DD2"/>
    <w:rsid w:val="004242AF"/>
    <w:rsid w:val="00424EB4"/>
    <w:rsid w:val="004306D7"/>
    <w:rsid w:val="004333F7"/>
    <w:rsid w:val="00434B05"/>
    <w:rsid w:val="00435C32"/>
    <w:rsid w:val="004368EE"/>
    <w:rsid w:val="00436F37"/>
    <w:rsid w:val="00437E3F"/>
    <w:rsid w:val="00442019"/>
    <w:rsid w:val="0044350A"/>
    <w:rsid w:val="00443902"/>
    <w:rsid w:val="004455E7"/>
    <w:rsid w:val="00446900"/>
    <w:rsid w:val="00447805"/>
    <w:rsid w:val="00454349"/>
    <w:rsid w:val="00454D8B"/>
    <w:rsid w:val="00455346"/>
    <w:rsid w:val="00456D71"/>
    <w:rsid w:val="00461BB5"/>
    <w:rsid w:val="00465561"/>
    <w:rsid w:val="00471A5D"/>
    <w:rsid w:val="00473808"/>
    <w:rsid w:val="0047430B"/>
    <w:rsid w:val="00474A8A"/>
    <w:rsid w:val="00477F13"/>
    <w:rsid w:val="00480E0F"/>
    <w:rsid w:val="004817BD"/>
    <w:rsid w:val="00482899"/>
    <w:rsid w:val="004837F0"/>
    <w:rsid w:val="004940C2"/>
    <w:rsid w:val="00494E4B"/>
    <w:rsid w:val="004A5A00"/>
    <w:rsid w:val="004B0ADE"/>
    <w:rsid w:val="004B24B1"/>
    <w:rsid w:val="004B4354"/>
    <w:rsid w:val="004B6F73"/>
    <w:rsid w:val="004C2DA3"/>
    <w:rsid w:val="004C4DFC"/>
    <w:rsid w:val="004C6C46"/>
    <w:rsid w:val="004D08B7"/>
    <w:rsid w:val="004E0A9B"/>
    <w:rsid w:val="004E5F2E"/>
    <w:rsid w:val="004E689E"/>
    <w:rsid w:val="004E7DFA"/>
    <w:rsid w:val="004F2FFE"/>
    <w:rsid w:val="005054EC"/>
    <w:rsid w:val="00507242"/>
    <w:rsid w:val="00507892"/>
    <w:rsid w:val="005133E3"/>
    <w:rsid w:val="00516132"/>
    <w:rsid w:val="00531824"/>
    <w:rsid w:val="00540328"/>
    <w:rsid w:val="00541280"/>
    <w:rsid w:val="00542754"/>
    <w:rsid w:val="00543026"/>
    <w:rsid w:val="0054776B"/>
    <w:rsid w:val="00553347"/>
    <w:rsid w:val="00556217"/>
    <w:rsid w:val="0056446C"/>
    <w:rsid w:val="00573827"/>
    <w:rsid w:val="0057475F"/>
    <w:rsid w:val="005820DB"/>
    <w:rsid w:val="00584AF7"/>
    <w:rsid w:val="0059186F"/>
    <w:rsid w:val="005922AA"/>
    <w:rsid w:val="0059358F"/>
    <w:rsid w:val="00593E74"/>
    <w:rsid w:val="00594A58"/>
    <w:rsid w:val="005952E4"/>
    <w:rsid w:val="005A570A"/>
    <w:rsid w:val="005B7801"/>
    <w:rsid w:val="005C410A"/>
    <w:rsid w:val="005C584C"/>
    <w:rsid w:val="005C766B"/>
    <w:rsid w:val="005D2536"/>
    <w:rsid w:val="005D4449"/>
    <w:rsid w:val="005D477C"/>
    <w:rsid w:val="005D6255"/>
    <w:rsid w:val="005D6F10"/>
    <w:rsid w:val="005D75CC"/>
    <w:rsid w:val="005E19D0"/>
    <w:rsid w:val="005E44EE"/>
    <w:rsid w:val="005E5707"/>
    <w:rsid w:val="005F260D"/>
    <w:rsid w:val="005F337F"/>
    <w:rsid w:val="006002FE"/>
    <w:rsid w:val="00602364"/>
    <w:rsid w:val="00602703"/>
    <w:rsid w:val="0060649D"/>
    <w:rsid w:val="006131C7"/>
    <w:rsid w:val="00613E30"/>
    <w:rsid w:val="00614431"/>
    <w:rsid w:val="006160E4"/>
    <w:rsid w:val="00616DA0"/>
    <w:rsid w:val="00620F90"/>
    <w:rsid w:val="00624AEC"/>
    <w:rsid w:val="0062705A"/>
    <w:rsid w:val="0062735F"/>
    <w:rsid w:val="006315B7"/>
    <w:rsid w:val="00634AEB"/>
    <w:rsid w:val="00640395"/>
    <w:rsid w:val="00640E86"/>
    <w:rsid w:val="00644323"/>
    <w:rsid w:val="006501A0"/>
    <w:rsid w:val="00655B9D"/>
    <w:rsid w:val="006569C2"/>
    <w:rsid w:val="00656CC6"/>
    <w:rsid w:val="0066287C"/>
    <w:rsid w:val="00663296"/>
    <w:rsid w:val="00663FD1"/>
    <w:rsid w:val="0066623F"/>
    <w:rsid w:val="00685B8C"/>
    <w:rsid w:val="0068623A"/>
    <w:rsid w:val="0068624F"/>
    <w:rsid w:val="00687C4B"/>
    <w:rsid w:val="006904D7"/>
    <w:rsid w:val="006953BB"/>
    <w:rsid w:val="00696E92"/>
    <w:rsid w:val="00697FAE"/>
    <w:rsid w:val="006A0E9C"/>
    <w:rsid w:val="006A3B7A"/>
    <w:rsid w:val="006A546D"/>
    <w:rsid w:val="006B0804"/>
    <w:rsid w:val="006B2401"/>
    <w:rsid w:val="006B36C4"/>
    <w:rsid w:val="006C019E"/>
    <w:rsid w:val="006C0B41"/>
    <w:rsid w:val="006C53DA"/>
    <w:rsid w:val="006E2908"/>
    <w:rsid w:val="006E366B"/>
    <w:rsid w:val="006E5337"/>
    <w:rsid w:val="006E699E"/>
    <w:rsid w:val="006E7ECD"/>
    <w:rsid w:val="006F08C9"/>
    <w:rsid w:val="006F1C03"/>
    <w:rsid w:val="006F1C51"/>
    <w:rsid w:val="006F23DD"/>
    <w:rsid w:val="006F25B2"/>
    <w:rsid w:val="006F3158"/>
    <w:rsid w:val="006F32D9"/>
    <w:rsid w:val="006F491D"/>
    <w:rsid w:val="00705095"/>
    <w:rsid w:val="007136E4"/>
    <w:rsid w:val="0072392C"/>
    <w:rsid w:val="007310CF"/>
    <w:rsid w:val="0073219F"/>
    <w:rsid w:val="00734134"/>
    <w:rsid w:val="007343E7"/>
    <w:rsid w:val="00734618"/>
    <w:rsid w:val="00736ED8"/>
    <w:rsid w:val="007448F3"/>
    <w:rsid w:val="00745A39"/>
    <w:rsid w:val="00750F09"/>
    <w:rsid w:val="00751039"/>
    <w:rsid w:val="00751226"/>
    <w:rsid w:val="007521F8"/>
    <w:rsid w:val="0075482E"/>
    <w:rsid w:val="00760529"/>
    <w:rsid w:val="007736BF"/>
    <w:rsid w:val="00776176"/>
    <w:rsid w:val="0077650A"/>
    <w:rsid w:val="00776517"/>
    <w:rsid w:val="007803C6"/>
    <w:rsid w:val="00785BC2"/>
    <w:rsid w:val="00787B69"/>
    <w:rsid w:val="007964A9"/>
    <w:rsid w:val="007A40F1"/>
    <w:rsid w:val="007A7A81"/>
    <w:rsid w:val="007A7FD4"/>
    <w:rsid w:val="007B7ABE"/>
    <w:rsid w:val="007C1B76"/>
    <w:rsid w:val="007C233E"/>
    <w:rsid w:val="007C26DE"/>
    <w:rsid w:val="007C32BE"/>
    <w:rsid w:val="007D181D"/>
    <w:rsid w:val="007E1315"/>
    <w:rsid w:val="007E57FB"/>
    <w:rsid w:val="007E5AD7"/>
    <w:rsid w:val="007E7738"/>
    <w:rsid w:val="007F13CE"/>
    <w:rsid w:val="007F40D0"/>
    <w:rsid w:val="00802235"/>
    <w:rsid w:val="00802B13"/>
    <w:rsid w:val="0080500F"/>
    <w:rsid w:val="0080524B"/>
    <w:rsid w:val="00814F85"/>
    <w:rsid w:val="00816EF9"/>
    <w:rsid w:val="008238B7"/>
    <w:rsid w:val="0082587A"/>
    <w:rsid w:val="00826BCB"/>
    <w:rsid w:val="00834071"/>
    <w:rsid w:val="00834206"/>
    <w:rsid w:val="008359DC"/>
    <w:rsid w:val="008433C2"/>
    <w:rsid w:val="008510A4"/>
    <w:rsid w:val="00855785"/>
    <w:rsid w:val="00856EB8"/>
    <w:rsid w:val="00856F58"/>
    <w:rsid w:val="00863158"/>
    <w:rsid w:val="0087337B"/>
    <w:rsid w:val="00876B17"/>
    <w:rsid w:val="0087723F"/>
    <w:rsid w:val="00877A39"/>
    <w:rsid w:val="0089257E"/>
    <w:rsid w:val="0089564C"/>
    <w:rsid w:val="00895760"/>
    <w:rsid w:val="00897071"/>
    <w:rsid w:val="008A0BBE"/>
    <w:rsid w:val="008A3057"/>
    <w:rsid w:val="008A534E"/>
    <w:rsid w:val="008B206F"/>
    <w:rsid w:val="008B7D35"/>
    <w:rsid w:val="008C56B7"/>
    <w:rsid w:val="008C6F62"/>
    <w:rsid w:val="008D2834"/>
    <w:rsid w:val="008D38E2"/>
    <w:rsid w:val="008D40E1"/>
    <w:rsid w:val="008D6147"/>
    <w:rsid w:val="008D78AD"/>
    <w:rsid w:val="008E06BA"/>
    <w:rsid w:val="008E4847"/>
    <w:rsid w:val="008E49CB"/>
    <w:rsid w:val="008E5D38"/>
    <w:rsid w:val="008E618D"/>
    <w:rsid w:val="008F2C63"/>
    <w:rsid w:val="008F43F4"/>
    <w:rsid w:val="008F45BB"/>
    <w:rsid w:val="009004F5"/>
    <w:rsid w:val="00901256"/>
    <w:rsid w:val="0090434F"/>
    <w:rsid w:val="00906F92"/>
    <w:rsid w:val="00907BDD"/>
    <w:rsid w:val="009104D9"/>
    <w:rsid w:val="00912CB2"/>
    <w:rsid w:val="009149DE"/>
    <w:rsid w:val="00916874"/>
    <w:rsid w:val="00917351"/>
    <w:rsid w:val="00923126"/>
    <w:rsid w:val="00923A3E"/>
    <w:rsid w:val="009247DA"/>
    <w:rsid w:val="00927C76"/>
    <w:rsid w:val="00930648"/>
    <w:rsid w:val="009306B1"/>
    <w:rsid w:val="0093197B"/>
    <w:rsid w:val="00932870"/>
    <w:rsid w:val="009334E5"/>
    <w:rsid w:val="009356CB"/>
    <w:rsid w:val="00942932"/>
    <w:rsid w:val="0094466E"/>
    <w:rsid w:val="00950460"/>
    <w:rsid w:val="00950C5D"/>
    <w:rsid w:val="00956663"/>
    <w:rsid w:val="00957B45"/>
    <w:rsid w:val="00964F14"/>
    <w:rsid w:val="0097125C"/>
    <w:rsid w:val="0097285B"/>
    <w:rsid w:val="00972872"/>
    <w:rsid w:val="00977225"/>
    <w:rsid w:val="00980A51"/>
    <w:rsid w:val="009810CF"/>
    <w:rsid w:val="009818F0"/>
    <w:rsid w:val="00987DD9"/>
    <w:rsid w:val="00993947"/>
    <w:rsid w:val="00996E27"/>
    <w:rsid w:val="009A00AF"/>
    <w:rsid w:val="009B1310"/>
    <w:rsid w:val="009B2418"/>
    <w:rsid w:val="009B26CD"/>
    <w:rsid w:val="009C22F9"/>
    <w:rsid w:val="009C539A"/>
    <w:rsid w:val="009D677C"/>
    <w:rsid w:val="009D6AC8"/>
    <w:rsid w:val="009D6EE2"/>
    <w:rsid w:val="009E0004"/>
    <w:rsid w:val="009E0C67"/>
    <w:rsid w:val="009E5DC5"/>
    <w:rsid w:val="009F3E3B"/>
    <w:rsid w:val="009F3E68"/>
    <w:rsid w:val="009F7D12"/>
    <w:rsid w:val="00A01EA0"/>
    <w:rsid w:val="00A02CA6"/>
    <w:rsid w:val="00A03A51"/>
    <w:rsid w:val="00A062AD"/>
    <w:rsid w:val="00A073A9"/>
    <w:rsid w:val="00A07F7C"/>
    <w:rsid w:val="00A123C5"/>
    <w:rsid w:val="00A15010"/>
    <w:rsid w:val="00A159C1"/>
    <w:rsid w:val="00A21101"/>
    <w:rsid w:val="00A21D54"/>
    <w:rsid w:val="00A23DEA"/>
    <w:rsid w:val="00A34962"/>
    <w:rsid w:val="00A37AA3"/>
    <w:rsid w:val="00A403D2"/>
    <w:rsid w:val="00A40AAD"/>
    <w:rsid w:val="00A43D5C"/>
    <w:rsid w:val="00A4512C"/>
    <w:rsid w:val="00A51A7C"/>
    <w:rsid w:val="00A65207"/>
    <w:rsid w:val="00A65703"/>
    <w:rsid w:val="00A67C40"/>
    <w:rsid w:val="00A67F96"/>
    <w:rsid w:val="00A70626"/>
    <w:rsid w:val="00A70C0B"/>
    <w:rsid w:val="00A71BA7"/>
    <w:rsid w:val="00A7351D"/>
    <w:rsid w:val="00A73556"/>
    <w:rsid w:val="00A76E33"/>
    <w:rsid w:val="00A8125A"/>
    <w:rsid w:val="00A90E50"/>
    <w:rsid w:val="00A977CC"/>
    <w:rsid w:val="00A97917"/>
    <w:rsid w:val="00AA23B2"/>
    <w:rsid w:val="00AA6930"/>
    <w:rsid w:val="00AA7A36"/>
    <w:rsid w:val="00AB1201"/>
    <w:rsid w:val="00AC3266"/>
    <w:rsid w:val="00AD25E9"/>
    <w:rsid w:val="00AD2AA5"/>
    <w:rsid w:val="00AD51D5"/>
    <w:rsid w:val="00AD584F"/>
    <w:rsid w:val="00AD6474"/>
    <w:rsid w:val="00AD7E7E"/>
    <w:rsid w:val="00AE4C4E"/>
    <w:rsid w:val="00AE6FEC"/>
    <w:rsid w:val="00AE78C6"/>
    <w:rsid w:val="00AF0E8A"/>
    <w:rsid w:val="00AF1C2B"/>
    <w:rsid w:val="00AF2470"/>
    <w:rsid w:val="00AF4E10"/>
    <w:rsid w:val="00AF6ABE"/>
    <w:rsid w:val="00B0190E"/>
    <w:rsid w:val="00B01A00"/>
    <w:rsid w:val="00B11FD8"/>
    <w:rsid w:val="00B1524A"/>
    <w:rsid w:val="00B26CE6"/>
    <w:rsid w:val="00B319BE"/>
    <w:rsid w:val="00B368C8"/>
    <w:rsid w:val="00B52480"/>
    <w:rsid w:val="00B533A9"/>
    <w:rsid w:val="00B571B5"/>
    <w:rsid w:val="00B6036D"/>
    <w:rsid w:val="00B647F9"/>
    <w:rsid w:val="00B65EDE"/>
    <w:rsid w:val="00B66698"/>
    <w:rsid w:val="00B66D63"/>
    <w:rsid w:val="00B715A8"/>
    <w:rsid w:val="00B723F9"/>
    <w:rsid w:val="00B76AA4"/>
    <w:rsid w:val="00B77E9B"/>
    <w:rsid w:val="00B83AAE"/>
    <w:rsid w:val="00B91F18"/>
    <w:rsid w:val="00BA769A"/>
    <w:rsid w:val="00BB1702"/>
    <w:rsid w:val="00BC272E"/>
    <w:rsid w:val="00BC607D"/>
    <w:rsid w:val="00BD2EA4"/>
    <w:rsid w:val="00BD4FF2"/>
    <w:rsid w:val="00BE21CE"/>
    <w:rsid w:val="00BE509F"/>
    <w:rsid w:val="00BE7315"/>
    <w:rsid w:val="00BF0105"/>
    <w:rsid w:val="00BF21C0"/>
    <w:rsid w:val="00BF2B8C"/>
    <w:rsid w:val="00C010C0"/>
    <w:rsid w:val="00C037F6"/>
    <w:rsid w:val="00C03C54"/>
    <w:rsid w:val="00C0417D"/>
    <w:rsid w:val="00C05AC0"/>
    <w:rsid w:val="00C1236F"/>
    <w:rsid w:val="00C163C0"/>
    <w:rsid w:val="00C1652F"/>
    <w:rsid w:val="00C221A4"/>
    <w:rsid w:val="00C24702"/>
    <w:rsid w:val="00C32592"/>
    <w:rsid w:val="00C36465"/>
    <w:rsid w:val="00C422AE"/>
    <w:rsid w:val="00C45362"/>
    <w:rsid w:val="00C45469"/>
    <w:rsid w:val="00C500E7"/>
    <w:rsid w:val="00C52FC2"/>
    <w:rsid w:val="00C54BC7"/>
    <w:rsid w:val="00C56884"/>
    <w:rsid w:val="00C6047F"/>
    <w:rsid w:val="00C60B15"/>
    <w:rsid w:val="00C61242"/>
    <w:rsid w:val="00C61937"/>
    <w:rsid w:val="00C6214D"/>
    <w:rsid w:val="00C64C72"/>
    <w:rsid w:val="00C6631E"/>
    <w:rsid w:val="00C674AE"/>
    <w:rsid w:val="00C73586"/>
    <w:rsid w:val="00C76395"/>
    <w:rsid w:val="00C811CA"/>
    <w:rsid w:val="00C82D6B"/>
    <w:rsid w:val="00C84749"/>
    <w:rsid w:val="00C90820"/>
    <w:rsid w:val="00C91BF9"/>
    <w:rsid w:val="00CA2ADF"/>
    <w:rsid w:val="00CA6BA4"/>
    <w:rsid w:val="00CB0BCF"/>
    <w:rsid w:val="00CB0D64"/>
    <w:rsid w:val="00CB1F45"/>
    <w:rsid w:val="00CB406D"/>
    <w:rsid w:val="00CB7C81"/>
    <w:rsid w:val="00CC2698"/>
    <w:rsid w:val="00CC5B00"/>
    <w:rsid w:val="00CD065E"/>
    <w:rsid w:val="00CD068A"/>
    <w:rsid w:val="00CD2661"/>
    <w:rsid w:val="00CE0ADA"/>
    <w:rsid w:val="00CE3E83"/>
    <w:rsid w:val="00CE6CC0"/>
    <w:rsid w:val="00CF0924"/>
    <w:rsid w:val="00CF0D3A"/>
    <w:rsid w:val="00CF0F11"/>
    <w:rsid w:val="00CF1453"/>
    <w:rsid w:val="00CF19A8"/>
    <w:rsid w:val="00CF2DC1"/>
    <w:rsid w:val="00CF3FCF"/>
    <w:rsid w:val="00CF5795"/>
    <w:rsid w:val="00CF6492"/>
    <w:rsid w:val="00CF69A8"/>
    <w:rsid w:val="00CF7E81"/>
    <w:rsid w:val="00D02E55"/>
    <w:rsid w:val="00D1509C"/>
    <w:rsid w:val="00D2634F"/>
    <w:rsid w:val="00D302DE"/>
    <w:rsid w:val="00D31B83"/>
    <w:rsid w:val="00D322BA"/>
    <w:rsid w:val="00D348B4"/>
    <w:rsid w:val="00D40172"/>
    <w:rsid w:val="00D50512"/>
    <w:rsid w:val="00D54DD6"/>
    <w:rsid w:val="00D5555E"/>
    <w:rsid w:val="00D55AE4"/>
    <w:rsid w:val="00D63E2F"/>
    <w:rsid w:val="00D74E17"/>
    <w:rsid w:val="00D7688A"/>
    <w:rsid w:val="00D76BA8"/>
    <w:rsid w:val="00D76D99"/>
    <w:rsid w:val="00D832CB"/>
    <w:rsid w:val="00D83522"/>
    <w:rsid w:val="00D937B4"/>
    <w:rsid w:val="00D95B42"/>
    <w:rsid w:val="00D96F38"/>
    <w:rsid w:val="00DA255D"/>
    <w:rsid w:val="00DA339D"/>
    <w:rsid w:val="00DA4274"/>
    <w:rsid w:val="00DA57E5"/>
    <w:rsid w:val="00DB0D22"/>
    <w:rsid w:val="00DB1308"/>
    <w:rsid w:val="00DB62EC"/>
    <w:rsid w:val="00DC28E0"/>
    <w:rsid w:val="00DC3BE2"/>
    <w:rsid w:val="00DC6FCD"/>
    <w:rsid w:val="00DD0754"/>
    <w:rsid w:val="00DD2477"/>
    <w:rsid w:val="00DD272F"/>
    <w:rsid w:val="00DD3207"/>
    <w:rsid w:val="00DD44EF"/>
    <w:rsid w:val="00DD4A97"/>
    <w:rsid w:val="00DD574B"/>
    <w:rsid w:val="00DD73FB"/>
    <w:rsid w:val="00DF2EA2"/>
    <w:rsid w:val="00DF6BD9"/>
    <w:rsid w:val="00E03823"/>
    <w:rsid w:val="00E0514B"/>
    <w:rsid w:val="00E05F71"/>
    <w:rsid w:val="00E12070"/>
    <w:rsid w:val="00E12912"/>
    <w:rsid w:val="00E13097"/>
    <w:rsid w:val="00E16BFE"/>
    <w:rsid w:val="00E20959"/>
    <w:rsid w:val="00E21B43"/>
    <w:rsid w:val="00E23F43"/>
    <w:rsid w:val="00E3066C"/>
    <w:rsid w:val="00E3115B"/>
    <w:rsid w:val="00E32899"/>
    <w:rsid w:val="00E3490F"/>
    <w:rsid w:val="00E34EC4"/>
    <w:rsid w:val="00E3643F"/>
    <w:rsid w:val="00E407A5"/>
    <w:rsid w:val="00E40E4E"/>
    <w:rsid w:val="00E42712"/>
    <w:rsid w:val="00E45691"/>
    <w:rsid w:val="00E5644B"/>
    <w:rsid w:val="00E5762F"/>
    <w:rsid w:val="00E67D59"/>
    <w:rsid w:val="00E734BE"/>
    <w:rsid w:val="00E73974"/>
    <w:rsid w:val="00E759CE"/>
    <w:rsid w:val="00E77FBC"/>
    <w:rsid w:val="00E81595"/>
    <w:rsid w:val="00E8184C"/>
    <w:rsid w:val="00E81E5C"/>
    <w:rsid w:val="00E8207B"/>
    <w:rsid w:val="00E86395"/>
    <w:rsid w:val="00E9068E"/>
    <w:rsid w:val="00E92E09"/>
    <w:rsid w:val="00E92F5C"/>
    <w:rsid w:val="00E95F80"/>
    <w:rsid w:val="00E97C3D"/>
    <w:rsid w:val="00EA0C72"/>
    <w:rsid w:val="00EA21BA"/>
    <w:rsid w:val="00EA3A29"/>
    <w:rsid w:val="00EA4350"/>
    <w:rsid w:val="00EA6C88"/>
    <w:rsid w:val="00EB09E7"/>
    <w:rsid w:val="00EB2081"/>
    <w:rsid w:val="00EB23FC"/>
    <w:rsid w:val="00EB3449"/>
    <w:rsid w:val="00EB3B7A"/>
    <w:rsid w:val="00EC6F3C"/>
    <w:rsid w:val="00EC7B02"/>
    <w:rsid w:val="00EC7B81"/>
    <w:rsid w:val="00ED7923"/>
    <w:rsid w:val="00EE045B"/>
    <w:rsid w:val="00EE0D2C"/>
    <w:rsid w:val="00EF32C8"/>
    <w:rsid w:val="00EF5014"/>
    <w:rsid w:val="00F01C1E"/>
    <w:rsid w:val="00F04A93"/>
    <w:rsid w:val="00F067EC"/>
    <w:rsid w:val="00F1135F"/>
    <w:rsid w:val="00F13CCF"/>
    <w:rsid w:val="00F145AE"/>
    <w:rsid w:val="00F1473C"/>
    <w:rsid w:val="00F170A7"/>
    <w:rsid w:val="00F24CD7"/>
    <w:rsid w:val="00F25838"/>
    <w:rsid w:val="00F32808"/>
    <w:rsid w:val="00F33F5E"/>
    <w:rsid w:val="00F3478D"/>
    <w:rsid w:val="00F35872"/>
    <w:rsid w:val="00F46331"/>
    <w:rsid w:val="00F469EC"/>
    <w:rsid w:val="00F47CD2"/>
    <w:rsid w:val="00F52D71"/>
    <w:rsid w:val="00F54414"/>
    <w:rsid w:val="00F54CDC"/>
    <w:rsid w:val="00F57B9F"/>
    <w:rsid w:val="00F62121"/>
    <w:rsid w:val="00F62A37"/>
    <w:rsid w:val="00F6442D"/>
    <w:rsid w:val="00F64FA7"/>
    <w:rsid w:val="00F667E7"/>
    <w:rsid w:val="00F70BEB"/>
    <w:rsid w:val="00F8086D"/>
    <w:rsid w:val="00F8417F"/>
    <w:rsid w:val="00F84F98"/>
    <w:rsid w:val="00F90D70"/>
    <w:rsid w:val="00F90FB0"/>
    <w:rsid w:val="00F91173"/>
    <w:rsid w:val="00F928AB"/>
    <w:rsid w:val="00F936D3"/>
    <w:rsid w:val="00F97EAA"/>
    <w:rsid w:val="00FA0115"/>
    <w:rsid w:val="00FA0876"/>
    <w:rsid w:val="00FA1ACB"/>
    <w:rsid w:val="00FA25B7"/>
    <w:rsid w:val="00FA3BA2"/>
    <w:rsid w:val="00FA41AF"/>
    <w:rsid w:val="00FA5BCF"/>
    <w:rsid w:val="00FB45E7"/>
    <w:rsid w:val="00FC0BB5"/>
    <w:rsid w:val="00FC19AC"/>
    <w:rsid w:val="00FC3132"/>
    <w:rsid w:val="00FC512E"/>
    <w:rsid w:val="00FC62A7"/>
    <w:rsid w:val="00FD0218"/>
    <w:rsid w:val="00FD08E5"/>
    <w:rsid w:val="00FD59E1"/>
    <w:rsid w:val="00FE2FA1"/>
    <w:rsid w:val="00FE3142"/>
    <w:rsid w:val="00FE49F8"/>
    <w:rsid w:val="00FE7748"/>
    <w:rsid w:val="00FF4582"/>
    <w:rsid w:val="00FF5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0B9CC37-7110-4B21-B9F0-7BA22998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tabs>
        <w:tab w:val="left" w:pos="397"/>
        <w:tab w:val="left" w:pos="851"/>
        <w:tab w:val="left" w:pos="1247"/>
        <w:tab w:val="left" w:pos="5670"/>
        <w:tab w:val="left" w:pos="7088"/>
      </w:tabs>
      <w:jc w:val="both"/>
    </w:pPr>
    <w:rPr>
      <w:rFonts w:ascii="Verdana" w:hAnsi="Verdana"/>
      <w:color w:val="000080"/>
    </w:rPr>
  </w:style>
  <w:style w:type="paragraph" w:styleId="Titolo1">
    <w:name w:val="heading 1"/>
    <w:basedOn w:val="Normale"/>
    <w:qFormat/>
    <w:pPr>
      <w:tabs>
        <w:tab w:val="clear" w:pos="1247"/>
        <w:tab w:val="clear" w:pos="7088"/>
        <w:tab w:val="left" w:pos="1134"/>
        <w:tab w:val="left" w:pos="6804"/>
      </w:tabs>
      <w:outlineLvl w:val="0"/>
    </w:pPr>
    <w:rPr>
      <w:rFonts w:ascii="Times New Roman" w:hAnsi="Times New Roman"/>
    </w:rPr>
  </w:style>
  <w:style w:type="paragraph" w:styleId="Titolo2">
    <w:name w:val="heading 2"/>
    <w:basedOn w:val="Normale"/>
    <w:qFormat/>
    <w:pPr>
      <w:tabs>
        <w:tab w:val="clear" w:pos="397"/>
        <w:tab w:val="clear" w:pos="1247"/>
        <w:tab w:val="clear" w:pos="7088"/>
      </w:tabs>
      <w:outlineLvl w:val="1"/>
    </w:pPr>
    <w:rPr>
      <w:rFonts w:ascii="Footlight MT Light" w:hAnsi="Footlight MT Light"/>
    </w:rPr>
  </w:style>
  <w:style w:type="paragraph" w:styleId="Titolo3">
    <w:name w:val="heading 3"/>
    <w:basedOn w:val="Normale"/>
    <w:qFormat/>
    <w:pPr>
      <w:framePr w:hSpace="142" w:wrap="around" w:vAnchor="text" w:hAnchor="text" w:y="1"/>
      <w:suppressLineNumbers/>
      <w:tabs>
        <w:tab w:val="clear" w:pos="397"/>
        <w:tab w:val="clear" w:pos="1247"/>
        <w:tab w:val="clear" w:pos="5670"/>
        <w:tab w:val="clear" w:pos="7088"/>
      </w:tabs>
      <w:spacing w:line="480" w:lineRule="auto"/>
      <w:ind w:left="2124" w:hanging="708"/>
      <w:outlineLvl w:val="2"/>
    </w:pPr>
    <w:rPr>
      <w:rFonts w:ascii="Arial" w:hAnsi="Arial"/>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pPr>
      <w:ind w:left="708"/>
    </w:pPr>
  </w:style>
  <w:style w:type="paragraph" w:styleId="Indirizzodestinatario">
    <w:name w:val="envelope address"/>
    <w:basedOn w:val="Normale"/>
    <w:pPr>
      <w:framePr w:w="7920" w:h="1980" w:hRule="exact" w:hSpace="141" w:wrap="auto" w:hAnchor="page" w:xAlign="center" w:yAlign="bottom"/>
      <w:tabs>
        <w:tab w:val="clear" w:pos="397"/>
        <w:tab w:val="clear" w:pos="1247"/>
        <w:tab w:val="clear" w:pos="5670"/>
        <w:tab w:val="clear" w:pos="7088"/>
        <w:tab w:val="left" w:pos="284"/>
        <w:tab w:val="left" w:pos="567"/>
        <w:tab w:val="left" w:pos="1134"/>
        <w:tab w:val="left" w:pos="5387"/>
        <w:tab w:val="left" w:pos="5954"/>
      </w:tabs>
      <w:ind w:left="2880"/>
    </w:pPr>
  </w:style>
  <w:style w:type="paragraph" w:styleId="Indirizzomittente">
    <w:name w:val="envelope return"/>
    <w:basedOn w:val="Normale"/>
    <w:pPr>
      <w:tabs>
        <w:tab w:val="clear" w:pos="1247"/>
        <w:tab w:val="clear" w:pos="7088"/>
        <w:tab w:val="left" w:pos="1134"/>
      </w:tabs>
    </w:pPr>
  </w:style>
  <w:style w:type="paragraph" w:styleId="PreformattatoHTML">
    <w:name w:val="HTML Preformatted"/>
    <w:basedOn w:val="Normale"/>
    <w:pPr>
      <w:tabs>
        <w:tab w:val="clear" w:pos="397"/>
        <w:tab w:val="clear" w:pos="851"/>
        <w:tab w:val="clear" w:pos="1247"/>
        <w:tab w:val="clear" w:pos="5670"/>
        <w:tab w:val="clear" w:pos="70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auto"/>
    </w:rPr>
  </w:style>
  <w:style w:type="paragraph" w:styleId="Intestazione">
    <w:name w:val="header"/>
    <w:basedOn w:val="Normale"/>
    <w:link w:val="IntestazioneCarattere"/>
    <w:pPr>
      <w:tabs>
        <w:tab w:val="clear" w:pos="397"/>
        <w:tab w:val="clear" w:pos="851"/>
        <w:tab w:val="clear" w:pos="1247"/>
        <w:tab w:val="clear" w:pos="5670"/>
        <w:tab w:val="clear" w:pos="7088"/>
        <w:tab w:val="center" w:pos="4819"/>
        <w:tab w:val="right" w:pos="9638"/>
      </w:tabs>
    </w:pPr>
  </w:style>
  <w:style w:type="paragraph" w:styleId="Pidipagina">
    <w:name w:val="footer"/>
    <w:basedOn w:val="Normale"/>
    <w:link w:val="PidipaginaCarattere"/>
    <w:uiPriority w:val="99"/>
    <w:pPr>
      <w:tabs>
        <w:tab w:val="clear" w:pos="397"/>
        <w:tab w:val="clear" w:pos="851"/>
        <w:tab w:val="clear" w:pos="1247"/>
        <w:tab w:val="clear" w:pos="5670"/>
        <w:tab w:val="clear" w:pos="7088"/>
        <w:tab w:val="center" w:pos="4819"/>
        <w:tab w:val="right" w:pos="9638"/>
      </w:tabs>
    </w:pPr>
  </w:style>
  <w:style w:type="character" w:styleId="Collegamentoipertestuale">
    <w:name w:val="Hyperlink"/>
    <w:rsid w:val="004E689E"/>
    <w:rPr>
      <w:color w:val="0000FF"/>
      <w:u w:val="single"/>
    </w:rPr>
  </w:style>
  <w:style w:type="paragraph" w:styleId="Testofumetto">
    <w:name w:val="Balloon Text"/>
    <w:basedOn w:val="Normale"/>
    <w:link w:val="TestofumettoCarattere"/>
    <w:uiPriority w:val="99"/>
    <w:semiHidden/>
    <w:unhideWhenUsed/>
    <w:rsid w:val="0062735F"/>
    <w:rPr>
      <w:rFonts w:ascii="Tahoma" w:hAnsi="Tahoma" w:cs="Tahoma"/>
      <w:sz w:val="16"/>
      <w:szCs w:val="16"/>
    </w:rPr>
  </w:style>
  <w:style w:type="character" w:customStyle="1" w:styleId="TestofumettoCarattere">
    <w:name w:val="Testo fumetto Carattere"/>
    <w:link w:val="Testofumetto"/>
    <w:uiPriority w:val="99"/>
    <w:semiHidden/>
    <w:rsid w:val="0062735F"/>
    <w:rPr>
      <w:rFonts w:ascii="Tahoma" w:hAnsi="Tahoma" w:cs="Tahoma"/>
      <w:color w:val="000080"/>
      <w:sz w:val="16"/>
      <w:szCs w:val="16"/>
    </w:rPr>
  </w:style>
  <w:style w:type="character" w:customStyle="1" w:styleId="UnresolvedMention">
    <w:name w:val="Unresolved Mention"/>
    <w:basedOn w:val="Carpredefinitoparagrafo"/>
    <w:uiPriority w:val="99"/>
    <w:semiHidden/>
    <w:unhideWhenUsed/>
    <w:rsid w:val="0022137D"/>
    <w:rPr>
      <w:color w:val="605E5C"/>
      <w:shd w:val="clear" w:color="auto" w:fill="E1DFDD"/>
    </w:rPr>
  </w:style>
  <w:style w:type="paragraph" w:styleId="Corpotesto">
    <w:name w:val="Body Text"/>
    <w:basedOn w:val="Normale"/>
    <w:link w:val="CorpotestoCarattere"/>
    <w:uiPriority w:val="1"/>
    <w:qFormat/>
    <w:rsid w:val="006315B7"/>
    <w:pPr>
      <w:widowControl w:val="0"/>
      <w:tabs>
        <w:tab w:val="clear" w:pos="397"/>
        <w:tab w:val="clear" w:pos="851"/>
        <w:tab w:val="clear" w:pos="1247"/>
        <w:tab w:val="clear" w:pos="5670"/>
        <w:tab w:val="clear" w:pos="7088"/>
      </w:tabs>
      <w:autoSpaceDE w:val="0"/>
      <w:autoSpaceDN w:val="0"/>
      <w:jc w:val="left"/>
    </w:pPr>
    <w:rPr>
      <w:rFonts w:eastAsia="Verdana" w:cs="Verdana"/>
      <w:color w:val="auto"/>
      <w:sz w:val="22"/>
      <w:szCs w:val="22"/>
      <w:lang w:eastAsia="en-US"/>
    </w:rPr>
  </w:style>
  <w:style w:type="character" w:customStyle="1" w:styleId="CorpotestoCarattere">
    <w:name w:val="Corpo testo Carattere"/>
    <w:basedOn w:val="Carpredefinitoparagrafo"/>
    <w:link w:val="Corpotesto"/>
    <w:uiPriority w:val="1"/>
    <w:rsid w:val="006315B7"/>
    <w:rPr>
      <w:rFonts w:ascii="Verdana" w:eastAsia="Verdana" w:hAnsi="Verdana" w:cs="Verdana"/>
      <w:sz w:val="22"/>
      <w:szCs w:val="22"/>
      <w:lang w:eastAsia="en-US"/>
    </w:rPr>
  </w:style>
  <w:style w:type="character" w:customStyle="1" w:styleId="PidipaginaCarattere">
    <w:name w:val="Piè di pagina Carattere"/>
    <w:basedOn w:val="Carpredefinitoparagrafo"/>
    <w:link w:val="Pidipagina"/>
    <w:uiPriority w:val="99"/>
    <w:rsid w:val="001630C3"/>
    <w:rPr>
      <w:rFonts w:ascii="Verdana" w:hAnsi="Verdana"/>
      <w:color w:val="000080"/>
    </w:rPr>
  </w:style>
  <w:style w:type="character" w:customStyle="1" w:styleId="IntestazioneCarattere">
    <w:name w:val="Intestazione Carattere"/>
    <w:link w:val="Intestazione"/>
    <w:rsid w:val="0089257E"/>
    <w:rPr>
      <w:rFonts w:ascii="Verdana" w:hAnsi="Verdana"/>
      <w:color w:val="000080"/>
    </w:rPr>
  </w:style>
  <w:style w:type="paragraph" w:styleId="Paragrafoelenco">
    <w:name w:val="List Paragraph"/>
    <w:basedOn w:val="Normale"/>
    <w:uiPriority w:val="34"/>
    <w:qFormat/>
    <w:rsid w:val="0082587A"/>
    <w:pPr>
      <w:ind w:left="720"/>
      <w:contextualSpacing/>
    </w:pPr>
  </w:style>
  <w:style w:type="character" w:styleId="Enfasigrassetto">
    <w:name w:val="Strong"/>
    <w:basedOn w:val="Carpredefinitoparagrafo"/>
    <w:uiPriority w:val="22"/>
    <w:qFormat/>
    <w:rsid w:val="008510A4"/>
    <w:rPr>
      <w:b/>
      <w:bCs/>
    </w:rPr>
  </w:style>
  <w:style w:type="character" w:styleId="Collegamentovisitato">
    <w:name w:val="FollowedHyperlink"/>
    <w:basedOn w:val="Carpredefinitoparagrafo"/>
    <w:uiPriority w:val="99"/>
    <w:semiHidden/>
    <w:unhideWhenUsed/>
    <w:rsid w:val="00AD7E7E"/>
    <w:rPr>
      <w:color w:val="954F72" w:themeColor="followedHyperlink"/>
      <w:u w:val="single"/>
    </w:rPr>
  </w:style>
  <w:style w:type="paragraph" w:customStyle="1" w:styleId="Default">
    <w:name w:val="Default"/>
    <w:rsid w:val="00956663"/>
    <w:pPr>
      <w:autoSpaceDE w:val="0"/>
      <w:autoSpaceDN w:val="0"/>
      <w:adjustRightInd w:val="0"/>
    </w:pPr>
    <w:rPr>
      <w:rFonts w:ascii="Cambria" w:hAnsi="Cambria" w:cs="Cambria"/>
      <w:color w:val="000000"/>
      <w:sz w:val="24"/>
      <w:szCs w:val="24"/>
    </w:rPr>
  </w:style>
  <w:style w:type="table" w:styleId="Grigliatabella">
    <w:name w:val="Table Grid"/>
    <w:basedOn w:val="Tabellanormale"/>
    <w:uiPriority w:val="59"/>
    <w:rsid w:val="008B7D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e"/>
    <w:rsid w:val="00912CB2"/>
    <w:pPr>
      <w:tabs>
        <w:tab w:val="clear" w:pos="397"/>
        <w:tab w:val="clear" w:pos="851"/>
        <w:tab w:val="clear" w:pos="1247"/>
        <w:tab w:val="clear" w:pos="5670"/>
        <w:tab w:val="clear" w:pos="7088"/>
      </w:tabs>
      <w:suppressAutoHyphens/>
      <w:autoSpaceDN w:val="0"/>
      <w:spacing w:after="140" w:line="276" w:lineRule="auto"/>
      <w:jc w:val="left"/>
    </w:pPr>
    <w:rPr>
      <w:rFonts w:ascii="Liberation Serif" w:eastAsia="NSimSun" w:hAnsi="Liberation Serif" w:cs="Arial"/>
      <w:color w:val="auto"/>
      <w:kern w:val="3"/>
      <w:sz w:val="24"/>
      <w:szCs w:val="24"/>
      <w:lang w:eastAsia="zh-CN" w:bidi="hi-IN"/>
    </w:rPr>
  </w:style>
  <w:style w:type="character" w:customStyle="1" w:styleId="StrongEmphasis">
    <w:name w:val="Strong Emphasis"/>
    <w:rsid w:val="00912CB2"/>
    <w:rPr>
      <w:b/>
      <w:bCs/>
    </w:rPr>
  </w:style>
  <w:style w:type="character" w:styleId="Enfasicorsivo">
    <w:name w:val="Emphasis"/>
    <w:basedOn w:val="Carpredefinitoparagrafo"/>
    <w:qFormat/>
    <w:rsid w:val="00912CB2"/>
    <w:rPr>
      <w:i/>
      <w:iCs/>
    </w:rPr>
  </w:style>
  <w:style w:type="character" w:customStyle="1" w:styleId="ams">
    <w:name w:val="ams"/>
    <w:basedOn w:val="Carpredefinitoparagrafo"/>
    <w:rsid w:val="00D31B83"/>
  </w:style>
  <w:style w:type="paragraph" w:styleId="NormaleWeb">
    <w:name w:val="Normal (Web)"/>
    <w:basedOn w:val="Normale"/>
    <w:uiPriority w:val="99"/>
    <w:unhideWhenUsed/>
    <w:rsid w:val="006B0804"/>
    <w:pPr>
      <w:tabs>
        <w:tab w:val="clear" w:pos="397"/>
        <w:tab w:val="clear" w:pos="851"/>
        <w:tab w:val="clear" w:pos="1247"/>
        <w:tab w:val="clear" w:pos="5670"/>
        <w:tab w:val="clear" w:pos="7088"/>
      </w:tabs>
      <w:spacing w:before="100" w:beforeAutospacing="1" w:after="100" w:afterAutospacing="1"/>
      <w:jc w:val="left"/>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8892">
      <w:bodyDiv w:val="1"/>
      <w:marLeft w:val="0"/>
      <w:marRight w:val="0"/>
      <w:marTop w:val="0"/>
      <w:marBottom w:val="0"/>
      <w:divBdr>
        <w:top w:val="none" w:sz="0" w:space="0" w:color="auto"/>
        <w:left w:val="none" w:sz="0" w:space="0" w:color="auto"/>
        <w:bottom w:val="none" w:sz="0" w:space="0" w:color="auto"/>
        <w:right w:val="none" w:sz="0" w:space="0" w:color="auto"/>
      </w:divBdr>
    </w:div>
    <w:div w:id="388697976">
      <w:bodyDiv w:val="1"/>
      <w:marLeft w:val="0"/>
      <w:marRight w:val="0"/>
      <w:marTop w:val="0"/>
      <w:marBottom w:val="0"/>
      <w:divBdr>
        <w:top w:val="none" w:sz="0" w:space="0" w:color="auto"/>
        <w:left w:val="none" w:sz="0" w:space="0" w:color="auto"/>
        <w:bottom w:val="none" w:sz="0" w:space="0" w:color="auto"/>
        <w:right w:val="none" w:sz="0" w:space="0" w:color="auto"/>
      </w:divBdr>
    </w:div>
    <w:div w:id="760300268">
      <w:bodyDiv w:val="1"/>
      <w:marLeft w:val="0"/>
      <w:marRight w:val="0"/>
      <w:marTop w:val="0"/>
      <w:marBottom w:val="0"/>
      <w:divBdr>
        <w:top w:val="none" w:sz="0" w:space="0" w:color="auto"/>
        <w:left w:val="none" w:sz="0" w:space="0" w:color="auto"/>
        <w:bottom w:val="none" w:sz="0" w:space="0" w:color="auto"/>
        <w:right w:val="none" w:sz="0" w:space="0" w:color="auto"/>
      </w:divBdr>
    </w:div>
    <w:div w:id="980840328">
      <w:bodyDiv w:val="1"/>
      <w:marLeft w:val="0"/>
      <w:marRight w:val="0"/>
      <w:marTop w:val="0"/>
      <w:marBottom w:val="0"/>
      <w:divBdr>
        <w:top w:val="none" w:sz="0" w:space="0" w:color="auto"/>
        <w:left w:val="none" w:sz="0" w:space="0" w:color="auto"/>
        <w:bottom w:val="none" w:sz="0" w:space="0" w:color="auto"/>
        <w:right w:val="none" w:sz="0" w:space="0" w:color="auto"/>
      </w:divBdr>
    </w:div>
    <w:div w:id="1546671551">
      <w:bodyDiv w:val="1"/>
      <w:marLeft w:val="0"/>
      <w:marRight w:val="0"/>
      <w:marTop w:val="0"/>
      <w:marBottom w:val="0"/>
      <w:divBdr>
        <w:top w:val="none" w:sz="0" w:space="0" w:color="auto"/>
        <w:left w:val="none" w:sz="0" w:space="0" w:color="auto"/>
        <w:bottom w:val="none" w:sz="0" w:space="0" w:color="auto"/>
        <w:right w:val="none" w:sz="0" w:space="0" w:color="auto"/>
      </w:divBdr>
    </w:div>
    <w:div w:id="1737239139">
      <w:bodyDiv w:val="1"/>
      <w:marLeft w:val="0"/>
      <w:marRight w:val="0"/>
      <w:marTop w:val="0"/>
      <w:marBottom w:val="0"/>
      <w:divBdr>
        <w:top w:val="none" w:sz="0" w:space="0" w:color="auto"/>
        <w:left w:val="none" w:sz="0" w:space="0" w:color="auto"/>
        <w:bottom w:val="none" w:sz="0" w:space="0" w:color="auto"/>
        <w:right w:val="none" w:sz="0" w:space="0" w:color="auto"/>
      </w:divBdr>
      <w:divsChild>
        <w:div w:id="1138260801">
          <w:marLeft w:val="0"/>
          <w:marRight w:val="0"/>
          <w:marTop w:val="0"/>
          <w:marBottom w:val="0"/>
          <w:divBdr>
            <w:top w:val="none" w:sz="0" w:space="0" w:color="auto"/>
            <w:left w:val="none" w:sz="0" w:space="0" w:color="auto"/>
            <w:bottom w:val="none" w:sz="0" w:space="0" w:color="auto"/>
            <w:right w:val="none" w:sz="0" w:space="0" w:color="auto"/>
          </w:divBdr>
          <w:divsChild>
            <w:div w:id="2138790713">
              <w:marLeft w:val="0"/>
              <w:marRight w:val="0"/>
              <w:marTop w:val="0"/>
              <w:marBottom w:val="0"/>
              <w:divBdr>
                <w:top w:val="none" w:sz="0" w:space="0" w:color="auto"/>
                <w:left w:val="none" w:sz="0" w:space="0" w:color="auto"/>
                <w:bottom w:val="none" w:sz="0" w:space="0" w:color="auto"/>
                <w:right w:val="none" w:sz="0" w:space="0" w:color="auto"/>
              </w:divBdr>
              <w:divsChild>
                <w:div w:id="874193649">
                  <w:marLeft w:val="0"/>
                  <w:marRight w:val="0"/>
                  <w:marTop w:val="0"/>
                  <w:marBottom w:val="0"/>
                  <w:divBdr>
                    <w:top w:val="none" w:sz="0" w:space="0" w:color="auto"/>
                    <w:left w:val="none" w:sz="0" w:space="0" w:color="auto"/>
                    <w:bottom w:val="none" w:sz="0" w:space="0" w:color="auto"/>
                    <w:right w:val="none" w:sz="0" w:space="0" w:color="auto"/>
                  </w:divBdr>
                  <w:divsChild>
                    <w:div w:id="904607212">
                      <w:marLeft w:val="0"/>
                      <w:marRight w:val="0"/>
                      <w:marTop w:val="120"/>
                      <w:marBottom w:val="0"/>
                      <w:divBdr>
                        <w:top w:val="none" w:sz="0" w:space="0" w:color="auto"/>
                        <w:left w:val="none" w:sz="0" w:space="0" w:color="auto"/>
                        <w:bottom w:val="none" w:sz="0" w:space="0" w:color="auto"/>
                        <w:right w:val="none" w:sz="0" w:space="0" w:color="auto"/>
                      </w:divBdr>
                      <w:divsChild>
                        <w:div w:id="1351449490">
                          <w:marLeft w:val="0"/>
                          <w:marRight w:val="0"/>
                          <w:marTop w:val="0"/>
                          <w:marBottom w:val="0"/>
                          <w:divBdr>
                            <w:top w:val="none" w:sz="0" w:space="0" w:color="auto"/>
                            <w:left w:val="none" w:sz="0" w:space="0" w:color="auto"/>
                            <w:bottom w:val="none" w:sz="0" w:space="0" w:color="auto"/>
                            <w:right w:val="none" w:sz="0" w:space="0" w:color="auto"/>
                          </w:divBdr>
                          <w:divsChild>
                            <w:div w:id="9101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123636">
          <w:marLeft w:val="0"/>
          <w:marRight w:val="0"/>
          <w:marTop w:val="0"/>
          <w:marBottom w:val="0"/>
          <w:divBdr>
            <w:top w:val="none" w:sz="0" w:space="0" w:color="auto"/>
            <w:left w:val="none" w:sz="0" w:space="0" w:color="auto"/>
            <w:bottom w:val="none" w:sz="0" w:space="0" w:color="auto"/>
            <w:right w:val="none" w:sz="0" w:space="0" w:color="auto"/>
          </w:divBdr>
          <w:divsChild>
            <w:div w:id="1730226484">
              <w:marLeft w:val="0"/>
              <w:marRight w:val="0"/>
              <w:marTop w:val="0"/>
              <w:marBottom w:val="0"/>
              <w:divBdr>
                <w:top w:val="none" w:sz="0" w:space="0" w:color="auto"/>
                <w:left w:val="none" w:sz="0" w:space="0" w:color="auto"/>
                <w:bottom w:val="none" w:sz="0" w:space="0" w:color="auto"/>
                <w:right w:val="none" w:sz="0" w:space="0" w:color="auto"/>
              </w:divBdr>
              <w:divsChild>
                <w:div w:id="915281354">
                  <w:marLeft w:val="0"/>
                  <w:marRight w:val="0"/>
                  <w:marTop w:val="0"/>
                  <w:marBottom w:val="0"/>
                  <w:divBdr>
                    <w:top w:val="none" w:sz="0" w:space="0" w:color="auto"/>
                    <w:left w:val="none" w:sz="0" w:space="0" w:color="auto"/>
                    <w:bottom w:val="none" w:sz="0" w:space="0" w:color="auto"/>
                    <w:right w:val="none" w:sz="0" w:space="0" w:color="auto"/>
                  </w:divBdr>
                  <w:divsChild>
                    <w:div w:id="986321222">
                      <w:marLeft w:val="0"/>
                      <w:marRight w:val="0"/>
                      <w:marTop w:val="0"/>
                      <w:marBottom w:val="0"/>
                      <w:divBdr>
                        <w:top w:val="none" w:sz="0" w:space="0" w:color="auto"/>
                        <w:left w:val="none" w:sz="0" w:space="0" w:color="auto"/>
                        <w:bottom w:val="none" w:sz="0" w:space="0" w:color="auto"/>
                        <w:right w:val="none" w:sz="0" w:space="0" w:color="auto"/>
                      </w:divBdr>
                      <w:divsChild>
                        <w:div w:id="2014794766">
                          <w:marLeft w:val="0"/>
                          <w:marRight w:val="0"/>
                          <w:marTop w:val="0"/>
                          <w:marBottom w:val="0"/>
                          <w:divBdr>
                            <w:top w:val="none" w:sz="0" w:space="0" w:color="auto"/>
                            <w:left w:val="none" w:sz="0" w:space="0" w:color="auto"/>
                            <w:bottom w:val="none" w:sz="0" w:space="0" w:color="auto"/>
                            <w:right w:val="none" w:sz="0" w:space="0" w:color="auto"/>
                          </w:divBdr>
                          <w:divsChild>
                            <w:div w:id="5444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6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pa.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ur.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A91FB-4FCE-4214-8427-B27560B9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1356</Words>
  <Characters>7730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Roma, ……………………</vt:lpstr>
    </vt:vector>
  </TitlesOfParts>
  <Company>S.N.A.L.S.</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dc:title>
  <dc:subject/>
  <dc:creator>EPR</dc:creator>
  <cp:keywords/>
  <cp:lastModifiedBy>Segreteria3</cp:lastModifiedBy>
  <cp:revision>2</cp:revision>
  <cp:lastPrinted>2023-03-30T09:04:00Z</cp:lastPrinted>
  <dcterms:created xsi:type="dcterms:W3CDTF">2023-04-06T08:39:00Z</dcterms:created>
  <dcterms:modified xsi:type="dcterms:W3CDTF">2023-04-06T08:39:00Z</dcterms:modified>
</cp:coreProperties>
</file>